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1D34" w14:textId="77777777" w:rsidR="00046965" w:rsidRPr="003E465D" w:rsidRDefault="00046965" w:rsidP="00046965">
      <w:pPr>
        <w:pBdr>
          <w:top w:val="single" w:sz="4" w:space="0" w:color="8064A2"/>
          <w:left w:val="single" w:sz="4" w:space="4" w:color="8064A2"/>
          <w:bottom w:val="single" w:sz="4" w:space="1" w:color="8064A2"/>
          <w:right w:val="single" w:sz="4" w:space="4" w:color="8064A2"/>
        </w:pBdr>
        <w:spacing w:before="120" w:after="120"/>
        <w:rPr>
          <w:rFonts w:ascii="Arial" w:eastAsia="Calibri" w:hAnsi="Arial" w:cs="Times New Roman"/>
          <w:b/>
          <w:color w:val="8064A2"/>
        </w:rPr>
      </w:pPr>
      <w:r w:rsidRPr="003E465D">
        <w:rPr>
          <w:rFonts w:ascii="Arial" w:eastAsia="Calibri" w:hAnsi="Arial" w:cs="Times New Roman"/>
          <w:b/>
          <w:color w:val="8064A2"/>
        </w:rPr>
        <w:t xml:space="preserve">General Welfare Requirement: </w:t>
      </w:r>
      <w:r>
        <w:rPr>
          <w:rFonts w:ascii="Arial" w:eastAsia="Calibri" w:hAnsi="Arial" w:cs="Times New Roman"/>
          <w:b/>
          <w:color w:val="8064A2"/>
        </w:rPr>
        <w:t>Organisation</w:t>
      </w:r>
    </w:p>
    <w:p w14:paraId="793A4D92" w14:textId="77777777" w:rsidR="00046965" w:rsidRPr="003E465D" w:rsidRDefault="00046965" w:rsidP="00046965">
      <w:pPr>
        <w:pBdr>
          <w:top w:val="single" w:sz="4" w:space="0" w:color="8064A2"/>
          <w:left w:val="single" w:sz="4" w:space="4" w:color="8064A2"/>
          <w:bottom w:val="single" w:sz="4" w:space="1" w:color="8064A2"/>
          <w:right w:val="single" w:sz="4" w:space="4" w:color="8064A2"/>
        </w:pBdr>
        <w:spacing w:before="120" w:after="120"/>
        <w:rPr>
          <w:rFonts w:ascii="Arial" w:eastAsia="Calibri" w:hAnsi="Arial" w:cs="Times New Roman"/>
          <w:color w:val="8064A2"/>
        </w:rPr>
      </w:pPr>
      <w:r>
        <w:rPr>
          <w:rFonts w:ascii="Arial" w:eastAsia="Calibri" w:hAnsi="Arial" w:cs="Times New Roman"/>
          <w:color w:val="8064A2"/>
        </w:rPr>
        <w:t>Providers must plan and organise their systems to ensure that every child receives an enjoyable and challenging learning and development experience that is tailored to meet their individual needs.</w:t>
      </w:r>
    </w:p>
    <w:p w14:paraId="4CBED9A4" w14:textId="77777777" w:rsidR="00046965" w:rsidRPr="003E465D" w:rsidRDefault="00046965" w:rsidP="00046965">
      <w:pPr>
        <w:spacing w:line="360" w:lineRule="auto"/>
        <w:rPr>
          <w:rFonts w:ascii="Arial" w:eastAsia="Calibri" w:hAnsi="Arial" w:cs="Arial"/>
          <w:b/>
          <w:sz w:val="28"/>
          <w:szCs w:val="28"/>
        </w:rPr>
      </w:pPr>
      <w:r>
        <w:rPr>
          <w:rFonts w:ascii="Arial" w:eastAsia="Calibri" w:hAnsi="Arial" w:cs="Arial"/>
          <w:b/>
          <w:sz w:val="28"/>
          <w:szCs w:val="28"/>
        </w:rPr>
        <w:t>Administration</w:t>
      </w:r>
    </w:p>
    <w:p w14:paraId="50B04F4E" w14:textId="77777777" w:rsidR="00046965" w:rsidRPr="003E465D" w:rsidRDefault="00046965" w:rsidP="00046965">
      <w:pPr>
        <w:spacing w:line="360" w:lineRule="auto"/>
        <w:rPr>
          <w:rFonts w:ascii="Arial" w:eastAsia="Calibri" w:hAnsi="Arial" w:cs="Arial"/>
          <w:b/>
          <w:sz w:val="28"/>
          <w:szCs w:val="28"/>
        </w:rPr>
      </w:pPr>
      <w:r>
        <w:rPr>
          <w:rFonts w:ascii="Arial" w:eastAsia="Calibri" w:hAnsi="Arial" w:cs="Arial"/>
          <w:b/>
          <w:sz w:val="28"/>
          <w:szCs w:val="28"/>
        </w:rPr>
        <w:t xml:space="preserve">6.1 </w:t>
      </w:r>
      <w:r w:rsidRPr="003E465D">
        <w:rPr>
          <w:rFonts w:ascii="Arial" w:eastAsia="Calibri" w:hAnsi="Arial" w:cs="Arial"/>
          <w:b/>
          <w:sz w:val="28"/>
          <w:szCs w:val="28"/>
        </w:rPr>
        <w:t>Admissions</w:t>
      </w:r>
    </w:p>
    <w:p w14:paraId="16DF3E4D" w14:textId="77777777" w:rsidR="00046965" w:rsidRPr="003E465D" w:rsidRDefault="00046965" w:rsidP="00046965">
      <w:pPr>
        <w:spacing w:line="360" w:lineRule="auto"/>
        <w:rPr>
          <w:rFonts w:ascii="Arial" w:eastAsia="Calibri" w:hAnsi="Arial" w:cs="Arial"/>
          <w:b/>
        </w:rPr>
      </w:pPr>
      <w:r w:rsidRPr="003E465D">
        <w:rPr>
          <w:rFonts w:ascii="Arial" w:eastAsia="Calibri" w:hAnsi="Arial" w:cs="Arial"/>
          <w:b/>
        </w:rPr>
        <w:t xml:space="preserve">Policy </w:t>
      </w:r>
      <w:r>
        <w:rPr>
          <w:rFonts w:ascii="Arial" w:eastAsia="Calibri" w:hAnsi="Arial" w:cs="Arial"/>
          <w:b/>
        </w:rPr>
        <w:t>s</w:t>
      </w:r>
      <w:r w:rsidRPr="003E465D">
        <w:rPr>
          <w:rFonts w:ascii="Arial" w:eastAsia="Calibri" w:hAnsi="Arial" w:cs="Arial"/>
          <w:b/>
        </w:rPr>
        <w:t>tatement</w:t>
      </w:r>
    </w:p>
    <w:p w14:paraId="0D65D715" w14:textId="77777777" w:rsidR="00046965" w:rsidRDefault="00046965" w:rsidP="00046965">
      <w:pPr>
        <w:spacing w:line="360" w:lineRule="auto"/>
        <w:rPr>
          <w:rFonts w:ascii="Arial" w:hAnsi="Arial"/>
        </w:rPr>
      </w:pPr>
      <w:r w:rsidRPr="003E465D">
        <w:rPr>
          <w:rFonts w:ascii="Arial" w:eastAsia="Calibri" w:hAnsi="Arial" w:cs="Times New Roman"/>
        </w:rPr>
        <w:t>It is our intention to make our setting accessible to children and families from all s</w:t>
      </w:r>
      <w:r>
        <w:rPr>
          <w:rFonts w:ascii="Arial" w:eastAsia="Calibri" w:hAnsi="Arial" w:cs="Times New Roman"/>
        </w:rPr>
        <w:t xml:space="preserve">ections of the local community. </w:t>
      </w:r>
      <w:r w:rsidRPr="003E465D">
        <w:rPr>
          <w:rFonts w:ascii="Arial" w:eastAsia="Calibri" w:hAnsi="Arial" w:cs="Times New Roman"/>
        </w:rPr>
        <w:t>We aim to ensure that all sections of our community have access to the setting through open, fair and clearly communicated procedures.</w:t>
      </w:r>
    </w:p>
    <w:p w14:paraId="16F90292" w14:textId="77777777" w:rsidR="00046965" w:rsidRPr="0025322E" w:rsidRDefault="00046965" w:rsidP="00046965">
      <w:pPr>
        <w:spacing w:line="360" w:lineRule="auto"/>
        <w:rPr>
          <w:rFonts w:ascii="Arial" w:eastAsia="Calibri" w:hAnsi="Arial" w:cs="Times New Roman"/>
        </w:rPr>
      </w:pPr>
      <w:r>
        <w:rPr>
          <w:rFonts w:ascii="Arial" w:eastAsia="Calibri" w:hAnsi="Arial" w:cs="Times New Roman"/>
          <w:b/>
        </w:rPr>
        <w:t>EYFS k</w:t>
      </w:r>
      <w:r w:rsidRPr="00D56E03">
        <w:rPr>
          <w:rFonts w:ascii="Arial" w:eastAsia="Calibri" w:hAnsi="Arial" w:cs="Times New Roman"/>
          <w:b/>
        </w:rPr>
        <w:t>ey themes and commitments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1"/>
        <w:gridCol w:w="2908"/>
        <w:gridCol w:w="2052"/>
      </w:tblGrid>
      <w:tr w:rsidR="00046965" w:rsidRPr="003F2CC1" w14:paraId="4F8F16D0" w14:textId="77777777" w:rsidTr="00892D9B">
        <w:tc>
          <w:tcPr>
            <w:tcW w:w="1059" w:type="pct"/>
            <w:shd w:val="clear" w:color="auto" w:fill="DAEEF3" w:themeFill="accent5" w:themeFillTint="33"/>
          </w:tcPr>
          <w:p w14:paraId="69E44885" w14:textId="77777777" w:rsidR="00046965" w:rsidRPr="00892D9B" w:rsidRDefault="00046965" w:rsidP="004F4948">
            <w:pPr>
              <w:pStyle w:val="ListParagraph"/>
              <w:spacing w:line="276" w:lineRule="auto"/>
              <w:ind w:left="0"/>
              <w:rPr>
                <w:rFonts w:ascii="Arial" w:hAnsi="Arial" w:cs="Arial"/>
                <w:b/>
                <w:sz w:val="18"/>
                <w:szCs w:val="18"/>
              </w:rPr>
            </w:pPr>
            <w:r w:rsidRPr="00892D9B">
              <w:rPr>
                <w:rFonts w:ascii="Arial" w:hAnsi="Arial" w:cs="Arial"/>
                <w:b/>
                <w:sz w:val="18"/>
                <w:szCs w:val="18"/>
              </w:rPr>
              <w:t>A Unique Child</w:t>
            </w:r>
          </w:p>
        </w:tc>
        <w:tc>
          <w:tcPr>
            <w:tcW w:w="1289" w:type="pct"/>
            <w:shd w:val="clear" w:color="auto" w:fill="EAF1DD" w:themeFill="accent3" w:themeFillTint="33"/>
          </w:tcPr>
          <w:p w14:paraId="75BEF9F8" w14:textId="77777777" w:rsidR="00046965" w:rsidRPr="00892D9B" w:rsidRDefault="00046965" w:rsidP="004F4948">
            <w:pPr>
              <w:pStyle w:val="ListParagraph"/>
              <w:spacing w:line="276" w:lineRule="auto"/>
              <w:ind w:left="0"/>
              <w:rPr>
                <w:rFonts w:ascii="Arial" w:hAnsi="Arial" w:cs="Arial"/>
                <w:b/>
                <w:sz w:val="18"/>
                <w:szCs w:val="18"/>
              </w:rPr>
            </w:pPr>
            <w:r w:rsidRPr="00892D9B">
              <w:rPr>
                <w:rFonts w:ascii="Arial" w:hAnsi="Arial" w:cs="Arial"/>
                <w:b/>
                <w:sz w:val="18"/>
                <w:szCs w:val="18"/>
              </w:rPr>
              <w:t>Positive Relationships</w:t>
            </w:r>
          </w:p>
        </w:tc>
        <w:tc>
          <w:tcPr>
            <w:tcW w:w="1555" w:type="pct"/>
            <w:shd w:val="clear" w:color="auto" w:fill="FDE9D9" w:themeFill="accent6" w:themeFillTint="33"/>
          </w:tcPr>
          <w:p w14:paraId="3A888F43" w14:textId="77777777" w:rsidR="00046965" w:rsidRPr="00892D9B" w:rsidRDefault="00046965" w:rsidP="00892D9B">
            <w:pPr>
              <w:spacing w:line="240" w:lineRule="auto"/>
              <w:rPr>
                <w:rFonts w:ascii="Arial" w:eastAsia="Calibri" w:hAnsi="Arial" w:cs="Arial"/>
                <w:b/>
                <w:sz w:val="18"/>
                <w:szCs w:val="18"/>
              </w:rPr>
            </w:pPr>
            <w:r w:rsidRPr="00892D9B">
              <w:rPr>
                <w:rFonts w:ascii="Arial" w:eastAsia="Calibri" w:hAnsi="Arial" w:cs="Arial"/>
                <w:b/>
                <w:sz w:val="18"/>
                <w:szCs w:val="18"/>
              </w:rPr>
              <w:t>Enabling Environments</w:t>
            </w:r>
          </w:p>
        </w:tc>
        <w:tc>
          <w:tcPr>
            <w:tcW w:w="1097" w:type="pct"/>
            <w:shd w:val="clear" w:color="auto" w:fill="F2DBDB" w:themeFill="accent2" w:themeFillTint="33"/>
          </w:tcPr>
          <w:p w14:paraId="23ECD409" w14:textId="77777777" w:rsidR="00046965" w:rsidRPr="00892D9B" w:rsidRDefault="00046965" w:rsidP="004F4948">
            <w:pPr>
              <w:pStyle w:val="ListParagraph"/>
              <w:spacing w:line="276" w:lineRule="auto"/>
              <w:ind w:left="0"/>
              <w:rPr>
                <w:rFonts w:ascii="Arial" w:hAnsi="Arial" w:cs="Arial"/>
                <w:b/>
                <w:sz w:val="18"/>
                <w:szCs w:val="18"/>
              </w:rPr>
            </w:pPr>
            <w:r w:rsidRPr="00892D9B">
              <w:rPr>
                <w:rFonts w:ascii="Arial" w:hAnsi="Arial" w:cs="Arial"/>
                <w:b/>
                <w:sz w:val="18"/>
                <w:szCs w:val="18"/>
              </w:rPr>
              <w:t>Learning and Development</w:t>
            </w:r>
          </w:p>
        </w:tc>
      </w:tr>
      <w:tr w:rsidR="00046965" w:rsidRPr="00961909" w14:paraId="0732A76A" w14:textId="77777777" w:rsidTr="00892D9B">
        <w:tc>
          <w:tcPr>
            <w:tcW w:w="1059" w:type="pct"/>
            <w:shd w:val="clear" w:color="auto" w:fill="DAEEF3" w:themeFill="accent5" w:themeFillTint="33"/>
          </w:tcPr>
          <w:p w14:paraId="3F6B1695" w14:textId="77777777" w:rsidR="00046965" w:rsidRPr="00892D9B" w:rsidRDefault="00046965" w:rsidP="004F4948">
            <w:pPr>
              <w:pStyle w:val="ListParagraph"/>
              <w:spacing w:line="276" w:lineRule="auto"/>
              <w:ind w:left="360" w:hanging="360"/>
              <w:rPr>
                <w:rFonts w:ascii="Arial" w:hAnsi="Arial" w:cs="Arial"/>
                <w:sz w:val="18"/>
                <w:szCs w:val="18"/>
              </w:rPr>
            </w:pPr>
            <w:r w:rsidRPr="00892D9B">
              <w:rPr>
                <w:rFonts w:ascii="Arial" w:hAnsi="Arial" w:cs="Arial"/>
                <w:sz w:val="18"/>
                <w:szCs w:val="18"/>
              </w:rPr>
              <w:t>1.2 Inclusive practice</w:t>
            </w:r>
          </w:p>
        </w:tc>
        <w:tc>
          <w:tcPr>
            <w:tcW w:w="1289" w:type="pct"/>
            <w:shd w:val="clear" w:color="auto" w:fill="EAF1DD" w:themeFill="accent3" w:themeFillTint="33"/>
          </w:tcPr>
          <w:p w14:paraId="0A4E36FC" w14:textId="77777777" w:rsidR="00046965" w:rsidRPr="00892D9B" w:rsidRDefault="00046965" w:rsidP="004F4948">
            <w:pPr>
              <w:pStyle w:val="ListParagraph"/>
              <w:spacing w:line="276" w:lineRule="auto"/>
              <w:ind w:left="360" w:hanging="360"/>
              <w:rPr>
                <w:rFonts w:ascii="Arial" w:hAnsi="Arial" w:cs="Arial"/>
                <w:sz w:val="18"/>
                <w:szCs w:val="18"/>
              </w:rPr>
            </w:pPr>
            <w:r w:rsidRPr="00892D9B">
              <w:rPr>
                <w:rFonts w:ascii="Arial" w:hAnsi="Arial" w:cs="Arial"/>
                <w:sz w:val="18"/>
                <w:szCs w:val="18"/>
              </w:rPr>
              <w:t>2.1 Respecting each other</w:t>
            </w:r>
          </w:p>
        </w:tc>
        <w:tc>
          <w:tcPr>
            <w:tcW w:w="1555" w:type="pct"/>
            <w:shd w:val="clear" w:color="auto" w:fill="FDE9D9" w:themeFill="accent6" w:themeFillTint="33"/>
          </w:tcPr>
          <w:p w14:paraId="75A027C0" w14:textId="77777777" w:rsidR="00892D9B" w:rsidRDefault="00046965" w:rsidP="00892D9B">
            <w:pPr>
              <w:spacing w:after="0"/>
              <w:ind w:left="360" w:hanging="360"/>
              <w:rPr>
                <w:rFonts w:ascii="Arial" w:eastAsia="Calibri" w:hAnsi="Arial" w:cs="Arial"/>
                <w:sz w:val="18"/>
                <w:szCs w:val="18"/>
              </w:rPr>
            </w:pPr>
            <w:r w:rsidRPr="00892D9B">
              <w:rPr>
                <w:rFonts w:ascii="Arial" w:eastAsia="Calibri" w:hAnsi="Arial" w:cs="Arial"/>
                <w:sz w:val="18"/>
                <w:szCs w:val="18"/>
              </w:rPr>
              <w:t>3.3 The learning environment</w:t>
            </w:r>
          </w:p>
          <w:p w14:paraId="1C21F886" w14:textId="77777777" w:rsidR="00046965" w:rsidRPr="00892D9B" w:rsidRDefault="00046965" w:rsidP="00892D9B">
            <w:pPr>
              <w:spacing w:after="0"/>
              <w:ind w:left="360" w:hanging="360"/>
              <w:rPr>
                <w:rFonts w:ascii="Arial" w:eastAsia="Calibri" w:hAnsi="Arial" w:cs="Arial"/>
                <w:sz w:val="18"/>
                <w:szCs w:val="18"/>
              </w:rPr>
            </w:pPr>
            <w:r w:rsidRPr="00892D9B">
              <w:rPr>
                <w:rFonts w:ascii="Arial" w:eastAsia="Calibri" w:hAnsi="Arial" w:cs="Arial"/>
                <w:sz w:val="18"/>
                <w:szCs w:val="18"/>
              </w:rPr>
              <w:t>3.4 The wider environment</w:t>
            </w:r>
          </w:p>
        </w:tc>
        <w:tc>
          <w:tcPr>
            <w:tcW w:w="1097" w:type="pct"/>
            <w:shd w:val="clear" w:color="auto" w:fill="F2DBDB" w:themeFill="accent2" w:themeFillTint="33"/>
          </w:tcPr>
          <w:p w14:paraId="5E47E540" w14:textId="77777777" w:rsidR="00046965" w:rsidRPr="00892D9B" w:rsidRDefault="00046965" w:rsidP="004F4948">
            <w:pPr>
              <w:pStyle w:val="ListParagraph"/>
              <w:spacing w:line="276" w:lineRule="auto"/>
              <w:ind w:left="360" w:hanging="360"/>
              <w:rPr>
                <w:rFonts w:ascii="Arial" w:hAnsi="Arial" w:cs="Arial"/>
                <w:sz w:val="18"/>
                <w:szCs w:val="18"/>
              </w:rPr>
            </w:pPr>
          </w:p>
        </w:tc>
      </w:tr>
    </w:tbl>
    <w:p w14:paraId="3D4D34D8" w14:textId="77777777" w:rsidR="00046965" w:rsidRDefault="00046965" w:rsidP="00046965">
      <w:pPr>
        <w:spacing w:line="360" w:lineRule="auto"/>
        <w:rPr>
          <w:rFonts w:ascii="Arial" w:hAnsi="Arial"/>
          <w:b/>
        </w:rPr>
      </w:pPr>
    </w:p>
    <w:p w14:paraId="55F12A2B" w14:textId="77777777" w:rsidR="00046965" w:rsidRPr="003E465D" w:rsidRDefault="00046965" w:rsidP="00046965">
      <w:pPr>
        <w:spacing w:line="360" w:lineRule="auto"/>
        <w:rPr>
          <w:rFonts w:ascii="Arial" w:eastAsia="Calibri" w:hAnsi="Arial" w:cs="Arial"/>
          <w:b/>
        </w:rPr>
      </w:pPr>
      <w:r w:rsidRPr="003E465D">
        <w:rPr>
          <w:rFonts w:ascii="Arial" w:eastAsia="Calibri" w:hAnsi="Arial" w:cs="Arial"/>
          <w:b/>
        </w:rPr>
        <w:t>Procedures</w:t>
      </w:r>
    </w:p>
    <w:p w14:paraId="1FEB9C73" w14:textId="77777777" w:rsidR="00046965" w:rsidRPr="003E465D" w:rsidRDefault="00046965" w:rsidP="00046965">
      <w:pPr>
        <w:numPr>
          <w:ilvl w:val="0"/>
          <w:numId w:val="1"/>
        </w:numPr>
        <w:spacing w:after="0" w:line="360" w:lineRule="auto"/>
        <w:rPr>
          <w:rFonts w:ascii="Arial" w:eastAsia="Calibri" w:hAnsi="Arial" w:cs="Times New Roman"/>
        </w:rPr>
      </w:pPr>
      <w:r w:rsidRPr="003E465D">
        <w:rPr>
          <w:rFonts w:ascii="Arial" w:eastAsia="Calibri" w:hAnsi="Arial" w:cs="Times New Roman"/>
        </w:rPr>
        <w:t>We ensure that the existence of our setting is widely advertised in places accessible to all sections of the community.</w:t>
      </w:r>
    </w:p>
    <w:p w14:paraId="2CDD9FAD" w14:textId="77777777" w:rsidR="00046965" w:rsidRPr="003E465D" w:rsidRDefault="00046965" w:rsidP="00046965">
      <w:pPr>
        <w:numPr>
          <w:ilvl w:val="0"/>
          <w:numId w:val="1"/>
        </w:numPr>
        <w:spacing w:after="0" w:line="360" w:lineRule="auto"/>
        <w:rPr>
          <w:rFonts w:ascii="Arial" w:eastAsia="Calibri" w:hAnsi="Arial" w:cs="Times New Roman"/>
        </w:rPr>
      </w:pPr>
      <w:r w:rsidRPr="003E465D">
        <w:rPr>
          <w:rFonts w:ascii="Arial" w:eastAsia="Calibri" w:hAnsi="Arial" w:cs="Times New Roman"/>
        </w:rPr>
        <w:t xml:space="preserve">We ensure that information about our setting is accessible, in written and spoken form and, where appropriate, in more than one language. Where necessary, we will try to provide information in Braille, or through British Sign Language. We will </w:t>
      </w:r>
      <w:r>
        <w:rPr>
          <w:rFonts w:ascii="Arial" w:eastAsia="Calibri" w:hAnsi="Arial" w:cs="Times New Roman"/>
        </w:rPr>
        <w:t xml:space="preserve">seek to </w:t>
      </w:r>
      <w:r w:rsidRPr="003E465D">
        <w:rPr>
          <w:rFonts w:ascii="Arial" w:eastAsia="Calibri" w:hAnsi="Arial" w:cs="Times New Roman"/>
        </w:rPr>
        <w:t>provide translated written materials where language needs of families suggest this is required as well as access to an interpreter.</w:t>
      </w:r>
    </w:p>
    <w:p w14:paraId="4D4376A8" w14:textId="77777777" w:rsidR="00046965" w:rsidRPr="003E465D" w:rsidRDefault="00046965" w:rsidP="00046965">
      <w:pPr>
        <w:numPr>
          <w:ilvl w:val="0"/>
          <w:numId w:val="1"/>
        </w:numPr>
        <w:spacing w:after="0" w:line="360" w:lineRule="auto"/>
        <w:rPr>
          <w:rFonts w:ascii="Arial" w:eastAsia="Calibri" w:hAnsi="Arial" w:cs="Times New Roman"/>
        </w:rPr>
      </w:pPr>
      <w:r w:rsidRPr="003E465D">
        <w:rPr>
          <w:rFonts w:ascii="Arial" w:eastAsia="Calibri" w:hAnsi="Arial" w:cs="Times New Roman"/>
        </w:rPr>
        <w:t>We arrange our waiting list in birth order. In addition our policy may take into account the following:</w:t>
      </w:r>
    </w:p>
    <w:p w14:paraId="302BD776" w14:textId="77777777" w:rsidR="00046965" w:rsidRPr="00B72C45" w:rsidRDefault="00046965" w:rsidP="00046965">
      <w:pPr>
        <w:pStyle w:val="ListParagraph"/>
        <w:numPr>
          <w:ilvl w:val="0"/>
          <w:numId w:val="3"/>
        </w:numPr>
        <w:spacing w:line="360" w:lineRule="auto"/>
        <w:rPr>
          <w:rFonts w:ascii="Arial" w:hAnsi="Arial"/>
          <w:sz w:val="22"/>
          <w:szCs w:val="22"/>
        </w:rPr>
      </w:pPr>
      <w:r w:rsidRPr="00B72C45">
        <w:rPr>
          <w:rFonts w:ascii="Arial" w:hAnsi="Arial"/>
          <w:sz w:val="22"/>
          <w:szCs w:val="22"/>
        </w:rPr>
        <w:t>the vicinity of the home to the setting; and</w:t>
      </w:r>
    </w:p>
    <w:p w14:paraId="1CF587D6" w14:textId="77777777" w:rsidR="00046965" w:rsidRDefault="00046965" w:rsidP="00046965">
      <w:pPr>
        <w:pStyle w:val="ListParagraph"/>
        <w:numPr>
          <w:ilvl w:val="0"/>
          <w:numId w:val="3"/>
        </w:numPr>
        <w:spacing w:line="360" w:lineRule="auto"/>
        <w:rPr>
          <w:rFonts w:ascii="Arial" w:hAnsi="Arial"/>
          <w:sz w:val="22"/>
          <w:szCs w:val="22"/>
        </w:rPr>
      </w:pPr>
      <w:r w:rsidRPr="00B72C45">
        <w:rPr>
          <w:rFonts w:ascii="Arial" w:hAnsi="Arial"/>
          <w:sz w:val="22"/>
          <w:szCs w:val="22"/>
        </w:rPr>
        <w:t>siblings already attending the setting</w:t>
      </w:r>
      <w:r>
        <w:rPr>
          <w:rFonts w:ascii="Arial" w:hAnsi="Arial"/>
          <w:sz w:val="22"/>
          <w:szCs w:val="22"/>
        </w:rPr>
        <w:t xml:space="preserve"> and the adjacent St. John’s Primary School</w:t>
      </w:r>
      <w:r w:rsidRPr="00B72C45">
        <w:rPr>
          <w:rFonts w:ascii="Arial" w:hAnsi="Arial"/>
          <w:sz w:val="22"/>
          <w:szCs w:val="22"/>
        </w:rPr>
        <w:t>.</w:t>
      </w:r>
    </w:p>
    <w:p w14:paraId="1268D88A" w14:textId="77777777" w:rsidR="00046965" w:rsidRDefault="00046965" w:rsidP="00046965">
      <w:pPr>
        <w:pStyle w:val="ListParagraph"/>
        <w:numPr>
          <w:ilvl w:val="0"/>
          <w:numId w:val="3"/>
        </w:numPr>
        <w:spacing w:line="360" w:lineRule="auto"/>
        <w:rPr>
          <w:rFonts w:ascii="Arial" w:hAnsi="Arial"/>
          <w:sz w:val="22"/>
          <w:szCs w:val="22"/>
        </w:rPr>
      </w:pPr>
      <w:r>
        <w:rPr>
          <w:rFonts w:ascii="Arial" w:hAnsi="Arial"/>
          <w:sz w:val="22"/>
          <w:szCs w:val="22"/>
        </w:rPr>
        <w:t>Date for starting school.</w:t>
      </w:r>
    </w:p>
    <w:p w14:paraId="5B47D7A9" w14:textId="77777777" w:rsidR="00046965" w:rsidRPr="0025322E" w:rsidRDefault="00046965" w:rsidP="00046965">
      <w:pPr>
        <w:spacing w:line="360" w:lineRule="auto"/>
        <w:rPr>
          <w:rFonts w:ascii="Arial" w:eastAsia="Calibri" w:hAnsi="Arial" w:cs="Times New Roman"/>
        </w:rPr>
      </w:pPr>
    </w:p>
    <w:p w14:paraId="6E294AB4"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t>We keep a place vacant, if this is financially viable, to accommodate an emergency admission.</w:t>
      </w:r>
    </w:p>
    <w:p w14:paraId="4123D334"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t>We describe our setting and its practices in terms that make it clear that it welcomes fathers and mothers, other relations and other carers, including childminders.</w:t>
      </w:r>
    </w:p>
    <w:p w14:paraId="166A3674"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lastRenderedPageBreak/>
        <w:t>We describe our setting and its practices in terms of how it treats each child and their family, having regard to their needs arising from their gender, special educational needs, disabilities, social background, religion, and ethnicity or from English being a newly acquired additional language.</w:t>
      </w:r>
    </w:p>
    <w:p w14:paraId="03B7BB57"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t>We describe our setting and its practices in terms of how it enables children and/or parents with disabilities to take part in the life of the setting.</w:t>
      </w:r>
    </w:p>
    <w:p w14:paraId="3A9A98C0"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t>We monitor the gender and ethnic background of children joining the group to ensure that our intake is repr</w:t>
      </w:r>
      <w:r>
        <w:rPr>
          <w:rFonts w:ascii="Arial" w:eastAsia="Calibri" w:hAnsi="Arial" w:cs="Times New Roman"/>
        </w:rPr>
        <w:t>esentative of social diversity.</w:t>
      </w:r>
    </w:p>
    <w:p w14:paraId="57E2D4AA"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t xml:space="preserve">We make our </w:t>
      </w:r>
      <w:r>
        <w:rPr>
          <w:rFonts w:ascii="Arial" w:eastAsia="Calibri" w:hAnsi="Arial" w:cs="Times New Roman"/>
        </w:rPr>
        <w:t xml:space="preserve">Valuing </w:t>
      </w:r>
      <w:r w:rsidRPr="001A7E8F">
        <w:rPr>
          <w:rFonts w:ascii="Arial" w:eastAsia="Calibri" w:hAnsi="Arial" w:cs="Times New Roman"/>
        </w:rPr>
        <w:t>Diversity</w:t>
      </w:r>
      <w:r>
        <w:rPr>
          <w:rFonts w:ascii="Arial" w:eastAsia="Calibri" w:hAnsi="Arial" w:cs="Times New Roman"/>
        </w:rPr>
        <w:t xml:space="preserve"> and Promoting Equality</w:t>
      </w:r>
      <w:r w:rsidRPr="001A7E8F">
        <w:rPr>
          <w:rFonts w:ascii="Arial" w:eastAsia="Calibri" w:hAnsi="Arial" w:cs="Times New Roman"/>
        </w:rPr>
        <w:t xml:space="preserve"> </w:t>
      </w:r>
      <w:r>
        <w:rPr>
          <w:rFonts w:ascii="Arial" w:eastAsia="Calibri" w:hAnsi="Arial" w:cs="Times New Roman"/>
        </w:rPr>
        <w:t>P</w:t>
      </w:r>
      <w:r w:rsidRPr="001A7E8F">
        <w:rPr>
          <w:rFonts w:ascii="Arial" w:eastAsia="Calibri" w:hAnsi="Arial" w:cs="Times New Roman"/>
        </w:rPr>
        <w:t>olicy widely</w:t>
      </w:r>
      <w:r w:rsidRPr="003E465D">
        <w:rPr>
          <w:rFonts w:ascii="Arial" w:eastAsia="Calibri" w:hAnsi="Arial" w:cs="Times New Roman"/>
        </w:rPr>
        <w:t xml:space="preserve"> known.</w:t>
      </w:r>
    </w:p>
    <w:p w14:paraId="34057292" w14:textId="77777777" w:rsidR="00046965" w:rsidRPr="003E465D" w:rsidRDefault="00046965" w:rsidP="00046965">
      <w:pPr>
        <w:numPr>
          <w:ilvl w:val="0"/>
          <w:numId w:val="2"/>
        </w:numPr>
        <w:spacing w:after="0" w:line="360" w:lineRule="auto"/>
        <w:rPr>
          <w:rFonts w:ascii="Arial" w:eastAsia="Calibri" w:hAnsi="Arial" w:cs="Times New Roman"/>
        </w:rPr>
      </w:pPr>
      <w:r w:rsidRPr="003E465D">
        <w:rPr>
          <w:rFonts w:ascii="Arial" w:eastAsia="Calibri" w:hAnsi="Arial" w:cs="Times New Roman"/>
        </w:rPr>
        <w:t>We consult with families about the opening times of the setting to ensure we accommodate a broad range of family need.</w:t>
      </w:r>
    </w:p>
    <w:p w14:paraId="50092BB2" w14:textId="77777777" w:rsidR="00046965" w:rsidRPr="001C6568" w:rsidRDefault="00046965" w:rsidP="00046965">
      <w:pPr>
        <w:numPr>
          <w:ilvl w:val="0"/>
          <w:numId w:val="2"/>
        </w:numPr>
        <w:spacing w:after="0" w:line="360" w:lineRule="auto"/>
        <w:rPr>
          <w:rFonts w:ascii="Arial" w:eastAsia="Calibri" w:hAnsi="Arial" w:cs="Arial"/>
        </w:rPr>
      </w:pPr>
      <w:r w:rsidRPr="001C6568">
        <w:rPr>
          <w:rFonts w:ascii="Arial" w:eastAsia="Calibri" w:hAnsi="Arial" w:cs="Times New Roman"/>
        </w:rPr>
        <w:t>We can offer additional sessions on a casual basis if there are spaces.</w:t>
      </w:r>
    </w:p>
    <w:p w14:paraId="0ADE31A5" w14:textId="77777777" w:rsidR="00046965" w:rsidRPr="001C6568" w:rsidRDefault="00046965" w:rsidP="00046965">
      <w:pPr>
        <w:numPr>
          <w:ilvl w:val="0"/>
          <w:numId w:val="2"/>
        </w:numPr>
        <w:spacing w:after="0" w:line="360" w:lineRule="auto"/>
        <w:rPr>
          <w:rFonts w:ascii="Arial" w:eastAsia="Calibri" w:hAnsi="Arial" w:cs="Arial"/>
        </w:rPr>
      </w:pPr>
      <w:r>
        <w:rPr>
          <w:rFonts w:ascii="Arial" w:eastAsia="Calibri" w:hAnsi="Arial" w:cs="Times New Roman"/>
        </w:rPr>
        <w:t xml:space="preserve">It may not be possible to offer the full </w:t>
      </w:r>
      <w:proofErr w:type="gramStart"/>
      <w:r>
        <w:rPr>
          <w:rFonts w:ascii="Arial" w:eastAsia="Calibri" w:hAnsi="Arial" w:cs="Times New Roman"/>
        </w:rPr>
        <w:t>15 hour</w:t>
      </w:r>
      <w:proofErr w:type="gramEnd"/>
      <w:r>
        <w:rPr>
          <w:rFonts w:ascii="Arial" w:eastAsia="Calibri" w:hAnsi="Arial" w:cs="Times New Roman"/>
        </w:rPr>
        <w:t xml:space="preserve"> Nursery Grant entitlement to children who attain their 3</w:t>
      </w:r>
      <w:r w:rsidRPr="001C6568">
        <w:rPr>
          <w:rFonts w:ascii="Arial" w:eastAsia="Calibri" w:hAnsi="Arial" w:cs="Times New Roman"/>
          <w:vertAlign w:val="superscript"/>
        </w:rPr>
        <w:t>rd</w:t>
      </w:r>
      <w:r>
        <w:rPr>
          <w:rFonts w:ascii="Arial" w:eastAsia="Calibri" w:hAnsi="Arial" w:cs="Times New Roman"/>
        </w:rPr>
        <w:t xml:space="preserve"> birthday during the Spring and Summer terms.  They will receive priority places the following September.</w:t>
      </w:r>
    </w:p>
    <w:p w14:paraId="09234297" w14:textId="77777777" w:rsidR="00046965" w:rsidRDefault="00046965" w:rsidP="00046965">
      <w:pPr>
        <w:spacing w:line="360" w:lineRule="auto"/>
        <w:rPr>
          <w:rFonts w:ascii="Arial" w:eastAsia="Calibri" w:hAnsi="Arial" w:cs="Times New Roman"/>
        </w:rPr>
      </w:pPr>
    </w:p>
    <w:p w14:paraId="28BE3E73" w14:textId="77777777" w:rsidR="00046965" w:rsidRDefault="00046965" w:rsidP="00046965">
      <w:pPr>
        <w:spacing w:line="360" w:lineRule="auto"/>
        <w:rPr>
          <w:rFonts w:ascii="Arial" w:eastAsia="Calibri" w:hAnsi="Arial" w:cs="Times New Roman"/>
        </w:rPr>
      </w:pPr>
    </w:p>
    <w:p w14:paraId="256E7FF8" w14:textId="77777777" w:rsidR="00046965" w:rsidRPr="001C6568" w:rsidRDefault="00046965" w:rsidP="00046965">
      <w:pPr>
        <w:spacing w:line="360" w:lineRule="auto"/>
        <w:rPr>
          <w:rFonts w:ascii="Arial" w:eastAsia="Calibri" w:hAnsi="Arial" w:cs="Arial"/>
        </w:rPr>
      </w:pPr>
    </w:p>
    <w:tbl>
      <w:tblPr>
        <w:tblW w:w="5000" w:type="pct"/>
        <w:tblLook w:val="01E0" w:firstRow="1" w:lastRow="1" w:firstColumn="1" w:lastColumn="1" w:noHBand="0" w:noVBand="0"/>
      </w:tblPr>
      <w:tblGrid>
        <w:gridCol w:w="4153"/>
        <w:gridCol w:w="3145"/>
        <w:gridCol w:w="1728"/>
      </w:tblGrid>
      <w:tr w:rsidR="00046965" w:rsidRPr="00452363" w14:paraId="35277D88" w14:textId="77777777" w:rsidTr="004F4948">
        <w:tc>
          <w:tcPr>
            <w:tcW w:w="2301" w:type="pct"/>
          </w:tcPr>
          <w:p w14:paraId="1B301DCB"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This policy was adopted at a meeting of</w:t>
            </w:r>
          </w:p>
        </w:tc>
        <w:tc>
          <w:tcPr>
            <w:tcW w:w="1742" w:type="pct"/>
            <w:tcBorders>
              <w:bottom w:val="single" w:sz="4" w:space="0" w:color="8064A2"/>
            </w:tcBorders>
          </w:tcPr>
          <w:p w14:paraId="1FF3C047" w14:textId="77777777" w:rsidR="00046965" w:rsidRPr="00892D9B" w:rsidRDefault="00046965" w:rsidP="004F4948">
            <w:pPr>
              <w:spacing w:line="360" w:lineRule="auto"/>
              <w:rPr>
                <w:rFonts w:ascii="Arial" w:eastAsia="Calibri" w:hAnsi="Arial" w:cs="Arial"/>
                <w:sz w:val="16"/>
                <w:szCs w:val="16"/>
              </w:rPr>
            </w:pPr>
            <w:r w:rsidRPr="00892D9B">
              <w:rPr>
                <w:rFonts w:ascii="Arial" w:eastAsia="Calibri" w:hAnsi="Arial" w:cs="Arial"/>
                <w:sz w:val="16"/>
                <w:szCs w:val="16"/>
              </w:rPr>
              <w:t>Sandbach Heath (St.</w:t>
            </w:r>
            <w:r w:rsidR="00892D9B" w:rsidRPr="00892D9B">
              <w:rPr>
                <w:rFonts w:ascii="Arial" w:eastAsia="Calibri" w:hAnsi="Arial" w:cs="Arial"/>
                <w:sz w:val="16"/>
                <w:szCs w:val="16"/>
              </w:rPr>
              <w:t xml:space="preserve"> </w:t>
            </w:r>
            <w:r w:rsidRPr="00892D9B">
              <w:rPr>
                <w:rFonts w:ascii="Arial" w:eastAsia="Calibri" w:hAnsi="Arial" w:cs="Arial"/>
                <w:sz w:val="16"/>
                <w:szCs w:val="16"/>
              </w:rPr>
              <w:t>John’s) Playgroup</w:t>
            </w:r>
          </w:p>
        </w:tc>
        <w:tc>
          <w:tcPr>
            <w:tcW w:w="957" w:type="pct"/>
          </w:tcPr>
          <w:p w14:paraId="65241ADD" w14:textId="77777777" w:rsidR="00046965" w:rsidRPr="00C26999" w:rsidRDefault="00046965" w:rsidP="004F4948">
            <w:pPr>
              <w:spacing w:line="360" w:lineRule="auto"/>
              <w:rPr>
                <w:rFonts w:ascii="Arial" w:eastAsia="Calibri" w:hAnsi="Arial" w:cs="Arial"/>
              </w:rPr>
            </w:pPr>
          </w:p>
        </w:tc>
      </w:tr>
      <w:tr w:rsidR="00046965" w:rsidRPr="00452363" w14:paraId="69EEB764" w14:textId="77777777" w:rsidTr="004F4948">
        <w:tc>
          <w:tcPr>
            <w:tcW w:w="2301" w:type="pct"/>
          </w:tcPr>
          <w:p w14:paraId="47079DCD"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Held on</w:t>
            </w:r>
          </w:p>
        </w:tc>
        <w:tc>
          <w:tcPr>
            <w:tcW w:w="1742" w:type="pct"/>
            <w:tcBorders>
              <w:top w:val="single" w:sz="4" w:space="0" w:color="8064A2"/>
              <w:bottom w:val="single" w:sz="4" w:space="0" w:color="8064A2"/>
            </w:tcBorders>
          </w:tcPr>
          <w:p w14:paraId="0A3DA1AF" w14:textId="77777777" w:rsidR="00046965" w:rsidRPr="00C26999" w:rsidRDefault="00046965" w:rsidP="004F4948">
            <w:pPr>
              <w:spacing w:line="360" w:lineRule="auto"/>
              <w:rPr>
                <w:rFonts w:ascii="Arial" w:eastAsia="Calibri" w:hAnsi="Arial" w:cs="Arial"/>
              </w:rPr>
            </w:pPr>
          </w:p>
        </w:tc>
        <w:tc>
          <w:tcPr>
            <w:tcW w:w="957" w:type="pct"/>
          </w:tcPr>
          <w:p w14:paraId="797072BD"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(date)</w:t>
            </w:r>
          </w:p>
        </w:tc>
      </w:tr>
      <w:tr w:rsidR="00046965" w:rsidRPr="00452363" w14:paraId="0F14A099" w14:textId="77777777" w:rsidTr="004F4948">
        <w:tc>
          <w:tcPr>
            <w:tcW w:w="2301" w:type="pct"/>
          </w:tcPr>
          <w:p w14:paraId="05FE658D"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Date to be reviewed</w:t>
            </w:r>
          </w:p>
        </w:tc>
        <w:tc>
          <w:tcPr>
            <w:tcW w:w="1742" w:type="pct"/>
            <w:tcBorders>
              <w:top w:val="single" w:sz="4" w:space="0" w:color="8064A2"/>
              <w:bottom w:val="single" w:sz="4" w:space="0" w:color="8064A2"/>
            </w:tcBorders>
          </w:tcPr>
          <w:p w14:paraId="0B8A8D1F" w14:textId="77777777" w:rsidR="00046965" w:rsidRPr="00C26999" w:rsidRDefault="00046965" w:rsidP="004F4948">
            <w:pPr>
              <w:spacing w:line="360" w:lineRule="auto"/>
              <w:rPr>
                <w:rFonts w:ascii="Arial" w:eastAsia="Calibri" w:hAnsi="Arial" w:cs="Arial"/>
              </w:rPr>
            </w:pPr>
          </w:p>
        </w:tc>
        <w:tc>
          <w:tcPr>
            <w:tcW w:w="957" w:type="pct"/>
          </w:tcPr>
          <w:p w14:paraId="5D5488E5"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(date)</w:t>
            </w:r>
          </w:p>
        </w:tc>
      </w:tr>
      <w:tr w:rsidR="00046965" w:rsidRPr="00452363" w14:paraId="18FF0F76" w14:textId="77777777" w:rsidTr="004F4948">
        <w:tc>
          <w:tcPr>
            <w:tcW w:w="2301" w:type="pct"/>
          </w:tcPr>
          <w:p w14:paraId="2561B42C"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Signed on behalf of the management committee</w:t>
            </w:r>
          </w:p>
        </w:tc>
        <w:tc>
          <w:tcPr>
            <w:tcW w:w="2699" w:type="pct"/>
            <w:gridSpan w:val="2"/>
            <w:tcBorders>
              <w:bottom w:val="single" w:sz="4" w:space="0" w:color="8064A2"/>
            </w:tcBorders>
          </w:tcPr>
          <w:p w14:paraId="3049C45E" w14:textId="77777777" w:rsidR="00046965" w:rsidRPr="00C26999" w:rsidRDefault="00046965" w:rsidP="004F4948">
            <w:pPr>
              <w:spacing w:line="360" w:lineRule="auto"/>
              <w:rPr>
                <w:rFonts w:ascii="Arial" w:eastAsia="Calibri" w:hAnsi="Arial" w:cs="Arial"/>
              </w:rPr>
            </w:pPr>
          </w:p>
        </w:tc>
      </w:tr>
      <w:tr w:rsidR="00046965" w:rsidRPr="00452363" w14:paraId="251FBFFC"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C00D605"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Name of signatory</w:t>
            </w:r>
          </w:p>
        </w:tc>
        <w:tc>
          <w:tcPr>
            <w:tcW w:w="2699" w:type="pct"/>
            <w:gridSpan w:val="2"/>
            <w:tcBorders>
              <w:top w:val="single" w:sz="4" w:space="0" w:color="8064A2"/>
              <w:left w:val="nil"/>
              <w:bottom w:val="single" w:sz="4" w:space="0" w:color="8064A2"/>
              <w:right w:val="nil"/>
            </w:tcBorders>
          </w:tcPr>
          <w:p w14:paraId="171F417B" w14:textId="77777777" w:rsidR="00046965" w:rsidRPr="00C26999" w:rsidRDefault="00046965" w:rsidP="004F4948">
            <w:pPr>
              <w:spacing w:line="360" w:lineRule="auto"/>
              <w:rPr>
                <w:rFonts w:ascii="Arial" w:eastAsia="Calibri" w:hAnsi="Arial" w:cs="Arial"/>
              </w:rPr>
            </w:pPr>
          </w:p>
        </w:tc>
      </w:tr>
      <w:tr w:rsidR="00046965" w:rsidRPr="00452363" w14:paraId="7C3671A1"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E14F825" w14:textId="77777777" w:rsidR="00046965" w:rsidRPr="00C26999" w:rsidRDefault="00046965" w:rsidP="004F4948">
            <w:pPr>
              <w:spacing w:line="360" w:lineRule="auto"/>
              <w:rPr>
                <w:rFonts w:ascii="Arial" w:eastAsia="Calibri" w:hAnsi="Arial" w:cs="Arial"/>
              </w:rPr>
            </w:pPr>
            <w:r w:rsidRPr="00C26999">
              <w:rPr>
                <w:rFonts w:ascii="Arial" w:eastAsia="Calibri" w:hAnsi="Arial" w:cs="Arial"/>
              </w:rPr>
              <w:t>Role of signatory (e.g. chair/owner)</w:t>
            </w:r>
          </w:p>
        </w:tc>
        <w:tc>
          <w:tcPr>
            <w:tcW w:w="2699" w:type="pct"/>
            <w:gridSpan w:val="2"/>
            <w:tcBorders>
              <w:top w:val="single" w:sz="4" w:space="0" w:color="8064A2"/>
              <w:left w:val="nil"/>
              <w:bottom w:val="single" w:sz="4" w:space="0" w:color="8064A2"/>
              <w:right w:val="nil"/>
            </w:tcBorders>
          </w:tcPr>
          <w:p w14:paraId="158075DE" w14:textId="77777777" w:rsidR="00046965" w:rsidRPr="00C26999" w:rsidRDefault="00046965" w:rsidP="004F4948">
            <w:pPr>
              <w:spacing w:line="360" w:lineRule="auto"/>
              <w:rPr>
                <w:rFonts w:ascii="Arial" w:eastAsia="Calibri" w:hAnsi="Arial" w:cs="Arial"/>
              </w:rPr>
            </w:pPr>
          </w:p>
        </w:tc>
      </w:tr>
    </w:tbl>
    <w:p w14:paraId="4FB21F3B" w14:textId="77777777" w:rsidR="00046965" w:rsidRDefault="00046965" w:rsidP="00046965">
      <w:pPr>
        <w:rPr>
          <w:rFonts w:ascii="Arial" w:hAnsi="Arial"/>
        </w:rPr>
      </w:pPr>
    </w:p>
    <w:p w14:paraId="7F64EA14" w14:textId="4F1456AE" w:rsidR="003F3601" w:rsidRDefault="003F3601"/>
    <w:p w14:paraId="5A4E3098" w14:textId="04AB19D4" w:rsidR="00E14114" w:rsidRDefault="00E14114"/>
    <w:p w14:paraId="330A8EFE" w14:textId="371C69DC" w:rsidR="00E14114" w:rsidRDefault="00E14114"/>
    <w:p w14:paraId="5815F09E" w14:textId="5CBCB31D" w:rsidR="00E14114" w:rsidRDefault="00E14114"/>
    <w:p w14:paraId="4E3057F2" w14:textId="2FAAB4C9" w:rsidR="00E14114" w:rsidRDefault="00E14114"/>
    <w:p w14:paraId="42E63CA4" w14:textId="15B12D35" w:rsidR="00E14114" w:rsidRDefault="00E14114"/>
    <w:p w14:paraId="7518E1A3" w14:textId="71728447" w:rsidR="00E14114" w:rsidRDefault="00E14114">
      <w:r>
        <w:lastRenderedPageBreak/>
        <w:t>6.1</w:t>
      </w:r>
      <w:bookmarkStart w:id="0" w:name="_GoBack"/>
      <w:bookmarkEnd w:id="0"/>
    </w:p>
    <w:sectPr w:rsidR="00E14114" w:rsidSect="0004696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2B79"/>
    <w:multiLevelType w:val="hybridMultilevel"/>
    <w:tmpl w:val="FA762356"/>
    <w:lvl w:ilvl="0" w:tplc="7714CFDE">
      <w:start w:val="1"/>
      <w:numFmt w:val="bullet"/>
      <w:lvlText w:val=""/>
      <w:lvlJc w:val="left"/>
      <w:pPr>
        <w:tabs>
          <w:tab w:val="num" w:pos="360"/>
        </w:tabs>
        <w:ind w:left="360" w:hanging="360"/>
      </w:pPr>
      <w:rPr>
        <w:rFonts w:ascii="Wingdings" w:hAnsi="Wingdings" w:hint="default"/>
        <w:color w:val="8064A2"/>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664FEB"/>
    <w:multiLevelType w:val="hybridMultilevel"/>
    <w:tmpl w:val="62F85756"/>
    <w:lvl w:ilvl="0" w:tplc="341677EC">
      <w:numFmt w:val="bullet"/>
      <w:lvlText w:val="-"/>
      <w:lvlJc w:val="left"/>
      <w:pPr>
        <w:ind w:left="720" w:hanging="360"/>
      </w:pPr>
      <w:rPr>
        <w:rFonts w:ascii="Arial-BoldMT" w:hAnsi="Arial-BoldMT" w:cs="Arial-BoldMT" w:hint="default"/>
        <w:b/>
        <w:color w:val="auto"/>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65"/>
    <w:rsid w:val="00046965"/>
    <w:rsid w:val="003F3601"/>
    <w:rsid w:val="00892D9B"/>
    <w:rsid w:val="008E5D32"/>
    <w:rsid w:val="00E1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4DA"/>
  <w15:docId w15:val="{E8B2DF6B-413E-4440-8272-64211D0E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96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3</cp:revision>
  <cp:lastPrinted>2022-07-27T11:25:00Z</cp:lastPrinted>
  <dcterms:created xsi:type="dcterms:W3CDTF">2018-08-11T16:26:00Z</dcterms:created>
  <dcterms:modified xsi:type="dcterms:W3CDTF">2022-07-27T11:25:00Z</dcterms:modified>
</cp:coreProperties>
</file>