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74020" w14:textId="77777777" w:rsidR="00F005CC" w:rsidRPr="000B310C" w:rsidRDefault="00F005CC" w:rsidP="00F005CC">
      <w:pPr>
        <w:pBdr>
          <w:top w:val="single" w:sz="4" w:space="1" w:color="C0504D"/>
          <w:left w:val="single" w:sz="4" w:space="4" w:color="C0504D"/>
          <w:bottom w:val="single" w:sz="4" w:space="1" w:color="C0504D"/>
          <w:right w:val="single" w:sz="4" w:space="4" w:color="C0504D"/>
        </w:pBdr>
        <w:spacing w:before="120" w:after="120"/>
        <w:rPr>
          <w:rFonts w:ascii="Arial" w:hAnsi="Arial"/>
          <w:b/>
          <w:color w:val="C0504D"/>
        </w:rPr>
      </w:pPr>
      <w:r w:rsidRPr="000B310C">
        <w:rPr>
          <w:rFonts w:ascii="Arial" w:hAnsi="Arial"/>
          <w:b/>
          <w:color w:val="C0504D"/>
        </w:rPr>
        <w:t>General Welfare Requirement: Suitable People</w:t>
      </w:r>
    </w:p>
    <w:p w14:paraId="7913DD5E" w14:textId="77777777" w:rsidR="00F005CC" w:rsidRPr="000B310C" w:rsidRDefault="00F005CC" w:rsidP="00F005CC">
      <w:pPr>
        <w:pBdr>
          <w:top w:val="single" w:sz="4" w:space="1" w:color="C0504D"/>
          <w:left w:val="single" w:sz="4" w:space="4" w:color="C0504D"/>
          <w:bottom w:val="single" w:sz="4" w:space="1" w:color="C0504D"/>
          <w:right w:val="single" w:sz="4" w:space="4" w:color="C0504D"/>
        </w:pBdr>
        <w:spacing w:before="120" w:after="120"/>
        <w:rPr>
          <w:rFonts w:ascii="Arial" w:hAnsi="Arial"/>
          <w:color w:val="C0504D"/>
        </w:rPr>
      </w:pPr>
      <w:r w:rsidRPr="000B310C">
        <w:rPr>
          <w:rFonts w:ascii="Arial" w:hAnsi="Arial"/>
          <w:color w:val="C0504D"/>
        </w:rPr>
        <w:t>Providers must ensure that adults looking after children, or having unsupervised access to them, are suitable to do so.</w:t>
      </w:r>
    </w:p>
    <w:p w14:paraId="0A2065E0" w14:textId="77777777" w:rsidR="00F005CC" w:rsidRDefault="00F005CC" w:rsidP="00F005CC">
      <w:pPr>
        <w:rPr>
          <w:rFonts w:ascii="Arial" w:hAnsi="Arial" w:cs="Arial"/>
          <w:b/>
          <w:sz w:val="28"/>
          <w:szCs w:val="28"/>
        </w:rPr>
      </w:pPr>
      <w:r>
        <w:rPr>
          <w:rFonts w:ascii="Arial" w:hAnsi="Arial" w:cs="Arial"/>
          <w:b/>
          <w:sz w:val="28"/>
          <w:szCs w:val="28"/>
        </w:rPr>
        <w:t>Employment</w:t>
      </w:r>
    </w:p>
    <w:p w14:paraId="17F0E645" w14:textId="77777777" w:rsidR="00F005CC" w:rsidRDefault="00F005CC" w:rsidP="00F005CC">
      <w:pPr>
        <w:rPr>
          <w:rFonts w:ascii="Arial" w:hAnsi="Arial" w:cs="Arial"/>
          <w:b/>
          <w:sz w:val="28"/>
          <w:szCs w:val="28"/>
        </w:rPr>
      </w:pPr>
      <w:r>
        <w:rPr>
          <w:rFonts w:ascii="Arial" w:hAnsi="Arial" w:cs="Arial"/>
          <w:b/>
          <w:sz w:val="28"/>
          <w:szCs w:val="28"/>
        </w:rPr>
        <w:t>10.2 Computers and Electronic C</w:t>
      </w:r>
      <w:r w:rsidRPr="00B00BDF">
        <w:rPr>
          <w:rFonts w:ascii="Arial" w:hAnsi="Arial" w:cs="Arial"/>
          <w:b/>
          <w:sz w:val="28"/>
          <w:szCs w:val="28"/>
        </w:rPr>
        <w:t>ommunications</w:t>
      </w:r>
    </w:p>
    <w:p w14:paraId="1DF77DC8" w14:textId="7E78E77F" w:rsidR="00F005CC" w:rsidRDefault="00F005CC" w:rsidP="00F005CC">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tbl>
      <w:tblPr>
        <w:tblW w:w="55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2"/>
        <w:gridCol w:w="2552"/>
        <w:gridCol w:w="3260"/>
      </w:tblGrid>
      <w:tr w:rsidR="002A3D64" w:rsidRPr="0021012E" w14:paraId="06D61E49" w14:textId="77777777" w:rsidTr="002A3D64">
        <w:trPr>
          <w:trHeight w:val="515"/>
        </w:trPr>
        <w:tc>
          <w:tcPr>
            <w:tcW w:w="903" w:type="pct"/>
            <w:shd w:val="clear" w:color="auto" w:fill="DAEEF3" w:themeFill="accent5" w:themeFillTint="33"/>
          </w:tcPr>
          <w:p w14:paraId="3AA12EAF" w14:textId="77777777" w:rsidR="00F005CC" w:rsidRPr="002A3D64" w:rsidRDefault="00F005CC" w:rsidP="004F4948">
            <w:pPr>
              <w:pStyle w:val="ListParagraph"/>
              <w:spacing w:line="360" w:lineRule="auto"/>
              <w:ind w:left="0"/>
              <w:rPr>
                <w:rFonts w:ascii="Arial" w:hAnsi="Arial" w:cs="Arial"/>
                <w:b/>
                <w:sz w:val="20"/>
                <w:szCs w:val="20"/>
              </w:rPr>
            </w:pPr>
            <w:r w:rsidRPr="002A3D64">
              <w:rPr>
                <w:rFonts w:ascii="Arial" w:hAnsi="Arial" w:cs="Arial"/>
                <w:b/>
                <w:sz w:val="20"/>
                <w:szCs w:val="20"/>
              </w:rPr>
              <w:t>A Unique Child</w:t>
            </w:r>
          </w:p>
        </w:tc>
        <w:tc>
          <w:tcPr>
            <w:tcW w:w="1250" w:type="pct"/>
            <w:shd w:val="clear" w:color="auto" w:fill="EAF1DD" w:themeFill="accent3" w:themeFillTint="33"/>
          </w:tcPr>
          <w:p w14:paraId="5488BEEC" w14:textId="77777777" w:rsidR="00F005CC" w:rsidRPr="002A3D64" w:rsidRDefault="00F005CC" w:rsidP="004F4948">
            <w:pPr>
              <w:pStyle w:val="ListParagraph"/>
              <w:spacing w:line="360" w:lineRule="auto"/>
              <w:ind w:left="0"/>
              <w:rPr>
                <w:rFonts w:ascii="Arial" w:hAnsi="Arial" w:cs="Arial"/>
                <w:b/>
                <w:sz w:val="20"/>
                <w:szCs w:val="20"/>
              </w:rPr>
            </w:pPr>
            <w:r w:rsidRPr="002A3D64">
              <w:rPr>
                <w:rFonts w:ascii="Arial" w:hAnsi="Arial" w:cs="Arial"/>
                <w:b/>
                <w:sz w:val="20"/>
                <w:szCs w:val="20"/>
              </w:rPr>
              <w:t>Positive Relationships</w:t>
            </w:r>
          </w:p>
        </w:tc>
        <w:tc>
          <w:tcPr>
            <w:tcW w:w="1250" w:type="pct"/>
            <w:shd w:val="clear" w:color="auto" w:fill="FDE9D9" w:themeFill="accent6" w:themeFillTint="33"/>
          </w:tcPr>
          <w:p w14:paraId="1D114B4A" w14:textId="77777777" w:rsidR="00F005CC" w:rsidRPr="002A3D64" w:rsidRDefault="00F005CC" w:rsidP="004F4948">
            <w:pPr>
              <w:spacing w:line="360" w:lineRule="auto"/>
              <w:rPr>
                <w:rFonts w:ascii="Arial" w:eastAsia="Calibri" w:hAnsi="Arial" w:cs="Arial"/>
                <w:b/>
                <w:sz w:val="20"/>
                <w:szCs w:val="20"/>
              </w:rPr>
            </w:pPr>
            <w:r w:rsidRPr="002A3D64">
              <w:rPr>
                <w:rFonts w:ascii="Arial" w:eastAsia="Calibri" w:hAnsi="Arial" w:cs="Arial"/>
                <w:b/>
                <w:sz w:val="20"/>
                <w:szCs w:val="20"/>
              </w:rPr>
              <w:t>Enabling Environments</w:t>
            </w:r>
          </w:p>
        </w:tc>
        <w:tc>
          <w:tcPr>
            <w:tcW w:w="1597" w:type="pct"/>
            <w:shd w:val="clear" w:color="auto" w:fill="F2DBDB" w:themeFill="accent2" w:themeFillTint="33"/>
          </w:tcPr>
          <w:p w14:paraId="3B820A68" w14:textId="18CB550B" w:rsidR="00F005CC" w:rsidRPr="002A3D64" w:rsidRDefault="00F005CC" w:rsidP="004F4948">
            <w:pPr>
              <w:pStyle w:val="ListParagraph"/>
              <w:spacing w:line="360" w:lineRule="auto"/>
              <w:ind w:left="0"/>
              <w:rPr>
                <w:rFonts w:ascii="Arial" w:hAnsi="Arial" w:cs="Arial"/>
                <w:b/>
                <w:sz w:val="20"/>
                <w:szCs w:val="20"/>
              </w:rPr>
            </w:pPr>
            <w:r w:rsidRPr="002A3D64">
              <w:rPr>
                <w:rFonts w:ascii="Arial" w:hAnsi="Arial" w:cs="Arial"/>
                <w:b/>
                <w:sz w:val="20"/>
                <w:szCs w:val="20"/>
              </w:rPr>
              <w:t>Learning and</w:t>
            </w:r>
            <w:r w:rsidR="002A3D64" w:rsidRPr="002A3D64">
              <w:rPr>
                <w:rFonts w:ascii="Arial" w:hAnsi="Arial" w:cs="Arial"/>
                <w:b/>
                <w:sz w:val="20"/>
                <w:szCs w:val="20"/>
              </w:rPr>
              <w:t xml:space="preserve"> </w:t>
            </w:r>
            <w:r w:rsidRPr="002A3D64">
              <w:rPr>
                <w:rFonts w:ascii="Arial" w:hAnsi="Arial" w:cs="Arial"/>
                <w:b/>
                <w:sz w:val="20"/>
                <w:szCs w:val="20"/>
              </w:rPr>
              <w:t>Development</w:t>
            </w:r>
          </w:p>
        </w:tc>
      </w:tr>
      <w:tr w:rsidR="002A3D64" w:rsidRPr="00961909" w14:paraId="0B0F3465" w14:textId="77777777" w:rsidTr="002A3D64">
        <w:trPr>
          <w:trHeight w:val="296"/>
        </w:trPr>
        <w:tc>
          <w:tcPr>
            <w:tcW w:w="903" w:type="pct"/>
            <w:shd w:val="clear" w:color="auto" w:fill="DAEEF3" w:themeFill="accent5" w:themeFillTint="33"/>
          </w:tcPr>
          <w:p w14:paraId="5F549C93" w14:textId="77777777" w:rsidR="00F005CC" w:rsidRPr="002A3D64" w:rsidRDefault="00F005CC" w:rsidP="004F4948">
            <w:pPr>
              <w:pStyle w:val="ListParagraph"/>
              <w:spacing w:line="360" w:lineRule="auto"/>
              <w:ind w:left="360" w:hanging="360"/>
              <w:rPr>
                <w:rFonts w:ascii="Arial" w:hAnsi="Arial" w:cs="Arial"/>
                <w:sz w:val="20"/>
                <w:szCs w:val="20"/>
              </w:rPr>
            </w:pPr>
            <w:r w:rsidRPr="002A3D64">
              <w:rPr>
                <w:rFonts w:ascii="Arial" w:hAnsi="Arial" w:cs="Arial"/>
                <w:sz w:val="20"/>
                <w:szCs w:val="20"/>
              </w:rPr>
              <w:t>1.3 Keeping safe</w:t>
            </w:r>
          </w:p>
        </w:tc>
        <w:tc>
          <w:tcPr>
            <w:tcW w:w="1250" w:type="pct"/>
            <w:shd w:val="clear" w:color="auto" w:fill="EAF1DD" w:themeFill="accent3" w:themeFillTint="33"/>
          </w:tcPr>
          <w:p w14:paraId="4C07AD3C" w14:textId="77777777" w:rsidR="00F005CC" w:rsidRPr="002A3D64" w:rsidRDefault="00F005CC" w:rsidP="004F4948">
            <w:pPr>
              <w:pStyle w:val="ListParagraph"/>
              <w:spacing w:line="360" w:lineRule="auto"/>
              <w:ind w:left="360" w:hanging="360"/>
              <w:rPr>
                <w:rFonts w:ascii="Arial" w:hAnsi="Arial" w:cs="Arial"/>
                <w:sz w:val="20"/>
                <w:szCs w:val="20"/>
              </w:rPr>
            </w:pPr>
            <w:r w:rsidRPr="002A3D64">
              <w:rPr>
                <w:rFonts w:ascii="Arial" w:hAnsi="Arial" w:cs="Arial"/>
                <w:sz w:val="20"/>
                <w:szCs w:val="20"/>
              </w:rPr>
              <w:t>2.2 Parents as partners</w:t>
            </w:r>
          </w:p>
        </w:tc>
        <w:tc>
          <w:tcPr>
            <w:tcW w:w="1250" w:type="pct"/>
            <w:shd w:val="clear" w:color="auto" w:fill="FDE9D9" w:themeFill="accent6" w:themeFillTint="33"/>
          </w:tcPr>
          <w:p w14:paraId="5D8DBDF9" w14:textId="77777777" w:rsidR="00F005CC" w:rsidRPr="002A3D64" w:rsidRDefault="00F005CC" w:rsidP="004F4948">
            <w:pPr>
              <w:spacing w:line="360" w:lineRule="auto"/>
              <w:ind w:left="360" w:hanging="360"/>
              <w:rPr>
                <w:rFonts w:ascii="Arial" w:eastAsia="Calibri" w:hAnsi="Arial" w:cs="Arial"/>
                <w:sz w:val="20"/>
                <w:szCs w:val="20"/>
              </w:rPr>
            </w:pPr>
          </w:p>
        </w:tc>
        <w:tc>
          <w:tcPr>
            <w:tcW w:w="1597" w:type="pct"/>
            <w:shd w:val="clear" w:color="auto" w:fill="F2DBDB" w:themeFill="accent2" w:themeFillTint="33"/>
          </w:tcPr>
          <w:p w14:paraId="21BDD7DE" w14:textId="77777777" w:rsidR="00F005CC" w:rsidRPr="002A3D64" w:rsidRDefault="00F005CC" w:rsidP="004F4948">
            <w:pPr>
              <w:pStyle w:val="ListParagraph"/>
              <w:spacing w:line="360" w:lineRule="auto"/>
              <w:ind w:left="360" w:hanging="360"/>
              <w:rPr>
                <w:rFonts w:ascii="Arial" w:hAnsi="Arial" w:cs="Arial"/>
                <w:sz w:val="20"/>
                <w:szCs w:val="20"/>
              </w:rPr>
            </w:pPr>
          </w:p>
        </w:tc>
      </w:tr>
    </w:tbl>
    <w:p w14:paraId="6159CAE0" w14:textId="77777777" w:rsidR="00F005CC" w:rsidRDefault="00F005CC" w:rsidP="00F005CC">
      <w:pPr>
        <w:spacing w:line="360" w:lineRule="auto"/>
        <w:jc w:val="both"/>
        <w:rPr>
          <w:rFonts w:ascii="Arial" w:hAnsi="Arial" w:cs="Arial"/>
          <w:b/>
          <w:sz w:val="28"/>
          <w:szCs w:val="28"/>
        </w:rPr>
      </w:pPr>
    </w:p>
    <w:p w14:paraId="4CC8D874" w14:textId="77777777" w:rsidR="00F005CC" w:rsidRDefault="00F005CC" w:rsidP="00F005CC">
      <w:pPr>
        <w:spacing w:line="360" w:lineRule="auto"/>
        <w:jc w:val="both"/>
        <w:rPr>
          <w:rFonts w:ascii="Arial" w:hAnsi="Arial" w:cs="Arial"/>
        </w:rPr>
      </w:pPr>
      <w:r w:rsidRPr="00B00BDF">
        <w:rPr>
          <w:rFonts w:ascii="Arial" w:hAnsi="Arial" w:cs="Arial"/>
        </w:rPr>
        <w:t>Staff are free to set up personal weblogs or 'blogs' on the internet,</w:t>
      </w:r>
      <w:r w:rsidRPr="000F7B23">
        <w:t xml:space="preserve"> </w:t>
      </w:r>
      <w:r w:rsidRPr="000F7B23">
        <w:rPr>
          <w:rFonts w:ascii="Arial" w:hAnsi="Arial" w:cs="Arial"/>
        </w:rPr>
        <w:t>MySpace</w:t>
      </w:r>
      <w:r>
        <w:rPr>
          <w:rFonts w:ascii="Arial" w:hAnsi="Arial" w:cs="Arial"/>
        </w:rPr>
        <w:t xml:space="preserve"> or </w:t>
      </w:r>
      <w:r w:rsidRPr="000F7B23">
        <w:rPr>
          <w:rFonts w:ascii="Arial" w:hAnsi="Arial" w:cs="Arial"/>
        </w:rPr>
        <w:t>Twitter</w:t>
      </w:r>
      <w:r w:rsidRPr="00B00BDF">
        <w:rPr>
          <w:rFonts w:ascii="Arial" w:hAnsi="Arial" w:cs="Arial"/>
        </w:rPr>
        <w:t xml:space="preserve"> provided that they do not breach the law or disclose any of the setting’s confidential information, breach copyright, defame the company or its suppliers, customers or employees; bring the organisation into disrepute, or disclose personal data or information about any individual that could breach the Data Protection Act 1998. The early years setting respects employee’s right to a private life. However, the early years setting must also ensure that confidentiality and its reputation are protected. It therefore requires that if you use social networking websites to: refrain from identifying</w:t>
      </w:r>
      <w:r>
        <w:rPr>
          <w:rFonts w:ascii="Arial" w:hAnsi="Arial" w:cs="Arial"/>
        </w:rPr>
        <w:t xml:space="preserve"> yourselves as working for St. </w:t>
      </w:r>
      <w:r w:rsidRPr="00B00BDF">
        <w:rPr>
          <w:rFonts w:ascii="Arial" w:hAnsi="Arial" w:cs="Arial"/>
        </w:rPr>
        <w:t xml:space="preserve">John’s Playgroup; ensure that you do not conduct yourself in a way that is detrimental to the early years take care not to allow your interaction on these websites to damage working relationships between members of employees and service users of the setting. </w:t>
      </w:r>
      <w:r w:rsidRPr="000022E0">
        <w:rPr>
          <w:rFonts w:ascii="Arial" w:hAnsi="Arial" w:cs="Arial"/>
        </w:rPr>
        <w:t>Social networking sites provide a great way for people to maintain contact with friends</w:t>
      </w:r>
      <w:r>
        <w:rPr>
          <w:rFonts w:ascii="Arial" w:hAnsi="Arial" w:cs="Arial"/>
        </w:rPr>
        <w:t xml:space="preserve"> h</w:t>
      </w:r>
      <w:r w:rsidRPr="000022E0">
        <w:rPr>
          <w:rFonts w:ascii="Arial" w:hAnsi="Arial" w:cs="Arial"/>
        </w:rPr>
        <w:t>owever the open nature of such sites</w:t>
      </w:r>
      <w:r>
        <w:rPr>
          <w:rFonts w:ascii="Arial" w:hAnsi="Arial" w:cs="Arial"/>
        </w:rPr>
        <w:t xml:space="preserve"> enables third parties </w:t>
      </w:r>
      <w:r w:rsidRPr="000022E0">
        <w:rPr>
          <w:rFonts w:ascii="Arial" w:hAnsi="Arial" w:cs="Arial"/>
        </w:rPr>
        <w:t>to access this information.</w:t>
      </w:r>
      <w:r>
        <w:rPr>
          <w:rFonts w:ascii="Arial" w:hAnsi="Arial" w:cs="Arial"/>
        </w:rPr>
        <w:t xml:space="preserve"> </w:t>
      </w:r>
      <w:r w:rsidRPr="000022E0">
        <w:rPr>
          <w:rFonts w:ascii="Arial" w:hAnsi="Arial" w:cs="Arial"/>
        </w:rPr>
        <w:t>Social networking sites allow photographs, videos and comments to be shared with</w:t>
      </w:r>
      <w:r>
        <w:rPr>
          <w:rFonts w:ascii="Arial" w:hAnsi="Arial" w:cs="Arial"/>
        </w:rPr>
        <w:t xml:space="preserve"> </w:t>
      </w:r>
      <w:r w:rsidRPr="000022E0">
        <w:rPr>
          <w:rFonts w:ascii="Arial" w:hAnsi="Arial" w:cs="Arial"/>
        </w:rPr>
        <w:t>thousands of other users. However, it is not ap</w:t>
      </w:r>
      <w:r>
        <w:rPr>
          <w:rFonts w:ascii="Arial" w:hAnsi="Arial" w:cs="Arial"/>
        </w:rPr>
        <w:t xml:space="preserve">propriate to share work-related </w:t>
      </w:r>
      <w:r w:rsidRPr="000022E0">
        <w:rPr>
          <w:rFonts w:ascii="Arial" w:hAnsi="Arial" w:cs="Arial"/>
        </w:rPr>
        <w:t>information whether written or pictorial in this way</w:t>
      </w:r>
      <w:r>
        <w:rPr>
          <w:rFonts w:ascii="Arial" w:hAnsi="Arial" w:cs="Arial"/>
        </w:rPr>
        <w:t xml:space="preserve">. </w:t>
      </w:r>
      <w:r w:rsidRPr="000022E0">
        <w:rPr>
          <w:rFonts w:ascii="Arial" w:hAnsi="Arial" w:cs="Arial"/>
        </w:rPr>
        <w:t xml:space="preserve">Under no circumstance should comments be made </w:t>
      </w:r>
      <w:r>
        <w:rPr>
          <w:rFonts w:ascii="Arial" w:hAnsi="Arial" w:cs="Arial"/>
        </w:rPr>
        <w:t xml:space="preserve">about St John’s Playgroup </w:t>
      </w:r>
      <w:r w:rsidRPr="000022E0">
        <w:rPr>
          <w:rFonts w:ascii="Arial" w:hAnsi="Arial" w:cs="Arial"/>
        </w:rPr>
        <w:t xml:space="preserve">staff </w:t>
      </w:r>
      <w:r>
        <w:rPr>
          <w:rFonts w:ascii="Arial" w:hAnsi="Arial" w:cs="Arial"/>
        </w:rPr>
        <w:t xml:space="preserve">or children and their families </w:t>
      </w:r>
      <w:r w:rsidRPr="000022E0">
        <w:rPr>
          <w:rFonts w:ascii="Arial" w:hAnsi="Arial" w:cs="Arial"/>
        </w:rPr>
        <w:t>on the Internet. Staff members sho</w:t>
      </w:r>
      <w:r>
        <w:rPr>
          <w:rFonts w:ascii="Arial" w:hAnsi="Arial" w:cs="Arial"/>
        </w:rPr>
        <w:t xml:space="preserve">uld respect the privacy and the </w:t>
      </w:r>
      <w:r w:rsidRPr="000022E0">
        <w:rPr>
          <w:rFonts w:ascii="Arial" w:hAnsi="Arial" w:cs="Arial"/>
        </w:rPr>
        <w:t>feelings of others. This could be deemed a disciplinary offence.</w:t>
      </w:r>
      <w:r>
        <w:rPr>
          <w:rFonts w:ascii="Arial" w:hAnsi="Arial" w:cs="Arial"/>
        </w:rPr>
        <w:t xml:space="preserve"> </w:t>
      </w:r>
    </w:p>
    <w:p w14:paraId="5D783416" w14:textId="77777777" w:rsidR="00F005CC" w:rsidRDefault="00F005CC" w:rsidP="00F005CC">
      <w:pPr>
        <w:spacing w:line="360" w:lineRule="auto"/>
        <w:jc w:val="both"/>
        <w:rPr>
          <w:rFonts w:ascii="Arial" w:hAnsi="Arial" w:cs="Arial"/>
        </w:rPr>
      </w:pPr>
      <w:r w:rsidRPr="000022E0">
        <w:rPr>
          <w:rFonts w:ascii="Arial" w:hAnsi="Arial" w:cs="Arial"/>
        </w:rPr>
        <w:t xml:space="preserve">If a </w:t>
      </w:r>
      <w:r>
        <w:rPr>
          <w:rFonts w:ascii="Arial" w:hAnsi="Arial" w:cs="Arial"/>
        </w:rPr>
        <w:t xml:space="preserve">member of </w:t>
      </w:r>
      <w:r w:rsidRPr="000022E0">
        <w:rPr>
          <w:rFonts w:ascii="Arial" w:hAnsi="Arial" w:cs="Arial"/>
        </w:rPr>
        <w:t>staff believes</w:t>
      </w:r>
      <w:r>
        <w:rPr>
          <w:rFonts w:ascii="Arial" w:hAnsi="Arial" w:cs="Arial"/>
        </w:rPr>
        <w:t xml:space="preserve"> that </w:t>
      </w:r>
      <w:r w:rsidRPr="000022E0">
        <w:rPr>
          <w:rFonts w:ascii="Arial" w:hAnsi="Arial" w:cs="Arial"/>
        </w:rPr>
        <w:t>something has been written which gives rise to</w:t>
      </w:r>
      <w:r>
        <w:rPr>
          <w:rFonts w:ascii="Arial" w:hAnsi="Arial" w:cs="Arial"/>
        </w:rPr>
        <w:t xml:space="preserve"> </w:t>
      </w:r>
      <w:r w:rsidRPr="000022E0">
        <w:rPr>
          <w:rFonts w:ascii="Arial" w:hAnsi="Arial" w:cs="Arial"/>
        </w:rPr>
        <w:t xml:space="preserve">concerns within this, or any other, policy this must be discussed with </w:t>
      </w:r>
      <w:r>
        <w:rPr>
          <w:rFonts w:ascii="Arial" w:hAnsi="Arial" w:cs="Arial"/>
        </w:rPr>
        <w:t>the manager or the committee’s chair.</w:t>
      </w:r>
    </w:p>
    <w:p w14:paraId="67732AF3" w14:textId="77777777" w:rsidR="00F005CC" w:rsidRDefault="00F005CC" w:rsidP="00F005CC">
      <w:pPr>
        <w:spacing w:line="360" w:lineRule="auto"/>
        <w:jc w:val="both"/>
        <w:rPr>
          <w:rFonts w:ascii="Arial" w:hAnsi="Arial" w:cs="Arial"/>
        </w:rPr>
      </w:pPr>
      <w:r w:rsidRPr="00B00BDF">
        <w:rPr>
          <w:rFonts w:ascii="Arial" w:hAnsi="Arial" w:cs="Arial"/>
        </w:rPr>
        <w:t xml:space="preserve">St. Johns is committed to ensuring that all of its employees are treated with dignity and respect at work. Bullying and harassment of any kind will not be tolerated in the work place. The setting can provide clear guidance on how bullying and harassment can be recognised. Cyber-bullying methods could include using text messages, mobile phone calls, instant </w:t>
      </w:r>
      <w:r w:rsidRPr="00B00BDF">
        <w:rPr>
          <w:rFonts w:ascii="Arial" w:hAnsi="Arial" w:cs="Arial"/>
        </w:rPr>
        <w:lastRenderedPageBreak/>
        <w:t>messenger services, by circulating photos or video clips or by posting comments on web sites, blogs or in chat rooms. Personal blogs that refer to colleagues without their consent is also unacceptable. Employees who cyber-bully a colleague could also face criminal prosecution under various laws, including the Malicious Communications Act 1988</w:t>
      </w:r>
      <w:r>
        <w:rPr>
          <w:rFonts w:ascii="Arial" w:hAnsi="Arial" w:cs="Arial"/>
        </w:rPr>
        <w:t>.</w:t>
      </w:r>
    </w:p>
    <w:p w14:paraId="484388E3" w14:textId="77777777" w:rsidR="00F005CC" w:rsidRDefault="00F005CC" w:rsidP="00F005CC">
      <w:pPr>
        <w:spacing w:line="360" w:lineRule="auto"/>
        <w:jc w:val="both"/>
        <w:rPr>
          <w:rFonts w:ascii="Arial" w:hAnsi="Arial" w:cs="Arial"/>
        </w:rPr>
      </w:pPr>
    </w:p>
    <w:tbl>
      <w:tblPr>
        <w:tblW w:w="5000" w:type="pct"/>
        <w:tblLook w:val="01E0" w:firstRow="1" w:lastRow="1" w:firstColumn="1" w:lastColumn="1" w:noHBand="0" w:noVBand="0"/>
      </w:tblPr>
      <w:tblGrid>
        <w:gridCol w:w="4253"/>
        <w:gridCol w:w="3220"/>
        <w:gridCol w:w="1769"/>
      </w:tblGrid>
      <w:tr w:rsidR="00F005CC" w:rsidRPr="009B535C" w14:paraId="54216E05" w14:textId="77777777" w:rsidTr="004F4948">
        <w:tc>
          <w:tcPr>
            <w:tcW w:w="2301" w:type="pct"/>
          </w:tcPr>
          <w:p w14:paraId="61E759C9" w14:textId="77777777" w:rsidR="00F005CC" w:rsidRDefault="00F005CC" w:rsidP="004F4948">
            <w:pPr>
              <w:spacing w:line="360" w:lineRule="auto"/>
              <w:rPr>
                <w:rFonts w:ascii="Arial" w:hAnsi="Arial" w:cs="Arial"/>
              </w:rPr>
            </w:pPr>
          </w:p>
          <w:p w14:paraId="036C4E63" w14:textId="77777777" w:rsidR="00F005CC" w:rsidRPr="009B535C" w:rsidRDefault="00F005CC" w:rsidP="004F4948">
            <w:pPr>
              <w:spacing w:line="360" w:lineRule="auto"/>
              <w:rPr>
                <w:rFonts w:ascii="Arial" w:hAnsi="Arial" w:cs="Arial"/>
              </w:rPr>
            </w:pPr>
            <w:r w:rsidRPr="009B535C">
              <w:rPr>
                <w:rFonts w:ascii="Arial" w:hAnsi="Arial" w:cs="Arial"/>
              </w:rPr>
              <w:t>This policy was adopted at a meeting of</w:t>
            </w:r>
          </w:p>
        </w:tc>
        <w:tc>
          <w:tcPr>
            <w:tcW w:w="1742" w:type="pct"/>
            <w:tcBorders>
              <w:bottom w:val="single" w:sz="4" w:space="0" w:color="9BBB59"/>
            </w:tcBorders>
          </w:tcPr>
          <w:p w14:paraId="6D07E1B0" w14:textId="77777777" w:rsidR="00F005CC" w:rsidRPr="009B535C" w:rsidRDefault="00F005CC" w:rsidP="004F4948">
            <w:pPr>
              <w:spacing w:line="360" w:lineRule="auto"/>
              <w:rPr>
                <w:rFonts w:ascii="Arial" w:hAnsi="Arial" w:cs="Arial"/>
              </w:rPr>
            </w:pPr>
          </w:p>
          <w:p w14:paraId="6269FFD7" w14:textId="77777777" w:rsidR="00F005CC" w:rsidRPr="009B535C" w:rsidRDefault="00F005CC" w:rsidP="004F4948">
            <w:pPr>
              <w:spacing w:line="360" w:lineRule="auto"/>
              <w:rPr>
                <w:rFonts w:ascii="Arial" w:hAnsi="Arial" w:cs="Arial"/>
              </w:rPr>
            </w:pPr>
            <w:r w:rsidRPr="009B535C">
              <w:rPr>
                <w:rFonts w:ascii="Arial" w:hAnsi="Arial" w:cs="Arial"/>
              </w:rPr>
              <w:t>Sandbach Heath</w:t>
            </w:r>
            <w:r>
              <w:rPr>
                <w:rFonts w:ascii="Arial" w:hAnsi="Arial" w:cs="Arial"/>
              </w:rPr>
              <w:t xml:space="preserve"> </w:t>
            </w:r>
            <w:r w:rsidRPr="009B535C">
              <w:rPr>
                <w:rFonts w:ascii="Arial" w:hAnsi="Arial" w:cs="Arial"/>
              </w:rPr>
              <w:t>(St.</w:t>
            </w:r>
            <w:r w:rsidR="005F1EF1">
              <w:rPr>
                <w:rFonts w:ascii="Arial" w:hAnsi="Arial" w:cs="Arial"/>
              </w:rPr>
              <w:t xml:space="preserve"> </w:t>
            </w:r>
            <w:r w:rsidRPr="009B535C">
              <w:rPr>
                <w:rFonts w:ascii="Arial" w:hAnsi="Arial" w:cs="Arial"/>
              </w:rPr>
              <w:t>John’s) Playgroup</w:t>
            </w:r>
          </w:p>
        </w:tc>
        <w:tc>
          <w:tcPr>
            <w:tcW w:w="957" w:type="pct"/>
          </w:tcPr>
          <w:p w14:paraId="1788D252" w14:textId="77777777" w:rsidR="00F005CC" w:rsidRPr="009B535C" w:rsidRDefault="00F005CC" w:rsidP="004F4948">
            <w:pPr>
              <w:spacing w:line="360" w:lineRule="auto"/>
              <w:rPr>
                <w:rFonts w:ascii="Arial" w:hAnsi="Arial" w:cs="Arial"/>
              </w:rPr>
            </w:pPr>
          </w:p>
          <w:p w14:paraId="76F946E3" w14:textId="77777777" w:rsidR="00F005CC" w:rsidRPr="009B535C" w:rsidRDefault="00F005CC" w:rsidP="004F4948">
            <w:pPr>
              <w:spacing w:line="360" w:lineRule="auto"/>
              <w:rPr>
                <w:rFonts w:ascii="Arial" w:hAnsi="Arial" w:cs="Arial"/>
              </w:rPr>
            </w:pPr>
            <w:r w:rsidRPr="009B535C">
              <w:rPr>
                <w:rFonts w:ascii="Arial" w:hAnsi="Arial" w:cs="Arial"/>
              </w:rPr>
              <w:t>name of setting</w:t>
            </w:r>
          </w:p>
        </w:tc>
      </w:tr>
      <w:tr w:rsidR="00F005CC" w:rsidRPr="009B535C" w14:paraId="5FFDE0A0" w14:textId="77777777" w:rsidTr="004F4948">
        <w:tc>
          <w:tcPr>
            <w:tcW w:w="2301" w:type="pct"/>
          </w:tcPr>
          <w:p w14:paraId="2186A3E3" w14:textId="77777777" w:rsidR="00F005CC" w:rsidRPr="009B535C" w:rsidRDefault="00F005CC" w:rsidP="004F4948">
            <w:pPr>
              <w:spacing w:line="360" w:lineRule="auto"/>
              <w:rPr>
                <w:rFonts w:ascii="Arial" w:hAnsi="Arial" w:cs="Arial"/>
              </w:rPr>
            </w:pPr>
            <w:r w:rsidRPr="009B535C">
              <w:rPr>
                <w:rFonts w:ascii="Arial" w:hAnsi="Arial" w:cs="Arial"/>
              </w:rPr>
              <w:t>Held on</w:t>
            </w:r>
          </w:p>
        </w:tc>
        <w:tc>
          <w:tcPr>
            <w:tcW w:w="1742" w:type="pct"/>
            <w:tcBorders>
              <w:top w:val="single" w:sz="4" w:space="0" w:color="9BBB59"/>
              <w:bottom w:val="single" w:sz="4" w:space="0" w:color="9BBB59"/>
            </w:tcBorders>
          </w:tcPr>
          <w:p w14:paraId="454A0EC9" w14:textId="77777777" w:rsidR="00F005CC" w:rsidRPr="009B535C" w:rsidRDefault="00F005CC" w:rsidP="004F4948">
            <w:pPr>
              <w:spacing w:line="360" w:lineRule="auto"/>
              <w:rPr>
                <w:rFonts w:ascii="Arial" w:hAnsi="Arial" w:cs="Arial"/>
              </w:rPr>
            </w:pPr>
          </w:p>
        </w:tc>
        <w:tc>
          <w:tcPr>
            <w:tcW w:w="957" w:type="pct"/>
          </w:tcPr>
          <w:p w14:paraId="45260E42" w14:textId="77777777" w:rsidR="00F005CC" w:rsidRPr="009B535C" w:rsidRDefault="00F005CC" w:rsidP="004F4948">
            <w:pPr>
              <w:spacing w:line="360" w:lineRule="auto"/>
              <w:rPr>
                <w:rFonts w:ascii="Arial" w:hAnsi="Arial" w:cs="Arial"/>
              </w:rPr>
            </w:pPr>
            <w:r w:rsidRPr="009B535C">
              <w:rPr>
                <w:rFonts w:ascii="Arial" w:hAnsi="Arial" w:cs="Arial"/>
              </w:rPr>
              <w:t>(date)</w:t>
            </w:r>
          </w:p>
        </w:tc>
      </w:tr>
      <w:tr w:rsidR="00F005CC" w:rsidRPr="009B535C" w14:paraId="06D72F6E" w14:textId="77777777" w:rsidTr="004F4948">
        <w:tc>
          <w:tcPr>
            <w:tcW w:w="2301" w:type="pct"/>
          </w:tcPr>
          <w:p w14:paraId="299F547C" w14:textId="77777777" w:rsidR="00F005CC" w:rsidRPr="009B535C" w:rsidRDefault="00F005CC" w:rsidP="004F4948">
            <w:pPr>
              <w:spacing w:line="360" w:lineRule="auto"/>
              <w:rPr>
                <w:rFonts w:ascii="Arial" w:hAnsi="Arial" w:cs="Arial"/>
              </w:rPr>
            </w:pPr>
            <w:r w:rsidRPr="009B535C">
              <w:rPr>
                <w:rFonts w:ascii="Arial" w:hAnsi="Arial" w:cs="Arial"/>
              </w:rPr>
              <w:t>Date to be reviewed</w:t>
            </w:r>
          </w:p>
        </w:tc>
        <w:tc>
          <w:tcPr>
            <w:tcW w:w="1742" w:type="pct"/>
            <w:tcBorders>
              <w:top w:val="single" w:sz="4" w:space="0" w:color="9BBB59"/>
              <w:bottom w:val="single" w:sz="4" w:space="0" w:color="9BBB59"/>
            </w:tcBorders>
          </w:tcPr>
          <w:p w14:paraId="6078E446" w14:textId="77777777" w:rsidR="00F005CC" w:rsidRPr="009B535C" w:rsidRDefault="00F005CC" w:rsidP="004F4948">
            <w:pPr>
              <w:spacing w:line="360" w:lineRule="auto"/>
              <w:rPr>
                <w:rFonts w:ascii="Arial" w:hAnsi="Arial" w:cs="Arial"/>
              </w:rPr>
            </w:pPr>
          </w:p>
        </w:tc>
        <w:tc>
          <w:tcPr>
            <w:tcW w:w="957" w:type="pct"/>
          </w:tcPr>
          <w:p w14:paraId="18DA395C" w14:textId="77777777" w:rsidR="00F005CC" w:rsidRPr="009B535C" w:rsidRDefault="00F005CC" w:rsidP="004F4948">
            <w:pPr>
              <w:spacing w:line="360" w:lineRule="auto"/>
              <w:rPr>
                <w:rFonts w:ascii="Arial" w:hAnsi="Arial" w:cs="Arial"/>
              </w:rPr>
            </w:pPr>
            <w:r w:rsidRPr="009B535C">
              <w:rPr>
                <w:rFonts w:ascii="Arial" w:hAnsi="Arial" w:cs="Arial"/>
              </w:rPr>
              <w:t>(date)</w:t>
            </w:r>
          </w:p>
        </w:tc>
      </w:tr>
      <w:tr w:rsidR="00F005CC" w:rsidRPr="009B535C" w14:paraId="13188E67" w14:textId="77777777" w:rsidTr="004F4948">
        <w:tc>
          <w:tcPr>
            <w:tcW w:w="2301" w:type="pct"/>
          </w:tcPr>
          <w:p w14:paraId="08433A7F" w14:textId="77777777" w:rsidR="00F005CC" w:rsidRPr="009B535C" w:rsidRDefault="00F005CC" w:rsidP="004F4948">
            <w:pPr>
              <w:spacing w:line="360" w:lineRule="auto"/>
              <w:rPr>
                <w:rFonts w:ascii="Arial" w:hAnsi="Arial" w:cs="Arial"/>
              </w:rPr>
            </w:pPr>
            <w:r w:rsidRPr="009B535C">
              <w:rPr>
                <w:rFonts w:ascii="Arial" w:hAnsi="Arial" w:cs="Arial"/>
              </w:rPr>
              <w:t>Signed on behalf of the management committee</w:t>
            </w:r>
          </w:p>
        </w:tc>
        <w:tc>
          <w:tcPr>
            <w:tcW w:w="2699" w:type="pct"/>
            <w:gridSpan w:val="2"/>
            <w:tcBorders>
              <w:bottom w:val="single" w:sz="4" w:space="0" w:color="9BBB59"/>
            </w:tcBorders>
          </w:tcPr>
          <w:p w14:paraId="1627E212" w14:textId="77777777" w:rsidR="00F005CC" w:rsidRPr="009B535C" w:rsidRDefault="00F005CC" w:rsidP="004F4948">
            <w:pPr>
              <w:spacing w:line="360" w:lineRule="auto"/>
              <w:rPr>
                <w:rFonts w:ascii="Arial" w:hAnsi="Arial" w:cs="Arial"/>
              </w:rPr>
            </w:pPr>
          </w:p>
        </w:tc>
      </w:tr>
      <w:tr w:rsidR="00F005CC" w:rsidRPr="009B535C" w14:paraId="0633029D"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01BD24C" w14:textId="77777777" w:rsidR="00F005CC" w:rsidRPr="009B535C" w:rsidRDefault="00F005CC" w:rsidP="004F4948">
            <w:pPr>
              <w:spacing w:line="360" w:lineRule="auto"/>
              <w:rPr>
                <w:rFonts w:ascii="Arial" w:hAnsi="Arial" w:cs="Arial"/>
              </w:rPr>
            </w:pPr>
            <w:r w:rsidRPr="009B535C">
              <w:rPr>
                <w:rFonts w:ascii="Arial" w:hAnsi="Arial" w:cs="Arial"/>
              </w:rPr>
              <w:t>Name of signatory</w:t>
            </w:r>
          </w:p>
        </w:tc>
        <w:tc>
          <w:tcPr>
            <w:tcW w:w="2699" w:type="pct"/>
            <w:gridSpan w:val="2"/>
            <w:tcBorders>
              <w:top w:val="single" w:sz="4" w:space="0" w:color="9BBB59"/>
              <w:left w:val="nil"/>
              <w:bottom w:val="single" w:sz="4" w:space="0" w:color="9BBB59"/>
              <w:right w:val="nil"/>
            </w:tcBorders>
          </w:tcPr>
          <w:p w14:paraId="365F6F06" w14:textId="77777777" w:rsidR="00F005CC" w:rsidRPr="009B535C" w:rsidRDefault="00F005CC" w:rsidP="004F4948">
            <w:pPr>
              <w:spacing w:line="360" w:lineRule="auto"/>
              <w:rPr>
                <w:rFonts w:ascii="Arial" w:hAnsi="Arial" w:cs="Arial"/>
              </w:rPr>
            </w:pPr>
          </w:p>
        </w:tc>
      </w:tr>
      <w:tr w:rsidR="00F005CC" w:rsidRPr="009B535C" w14:paraId="72DEE670"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DF7F4CF" w14:textId="77777777" w:rsidR="00F005CC" w:rsidRPr="009B535C" w:rsidRDefault="00F005CC" w:rsidP="004F4948">
            <w:pPr>
              <w:spacing w:line="360" w:lineRule="auto"/>
              <w:rPr>
                <w:rFonts w:ascii="Arial" w:hAnsi="Arial" w:cs="Arial"/>
              </w:rPr>
            </w:pPr>
            <w:r w:rsidRPr="009B535C">
              <w:rPr>
                <w:rFonts w:ascii="Arial" w:hAnsi="Arial" w:cs="Arial"/>
              </w:rPr>
              <w:t>Role of signatory (e.g. chair/owner)</w:t>
            </w:r>
          </w:p>
        </w:tc>
        <w:tc>
          <w:tcPr>
            <w:tcW w:w="2699" w:type="pct"/>
            <w:gridSpan w:val="2"/>
            <w:tcBorders>
              <w:top w:val="single" w:sz="4" w:space="0" w:color="9BBB59"/>
              <w:left w:val="nil"/>
              <w:bottom w:val="single" w:sz="4" w:space="0" w:color="9BBB59"/>
              <w:right w:val="nil"/>
            </w:tcBorders>
          </w:tcPr>
          <w:p w14:paraId="5C7796BE" w14:textId="77777777" w:rsidR="00F005CC" w:rsidRPr="009B535C" w:rsidRDefault="00F005CC" w:rsidP="004F4948">
            <w:pPr>
              <w:spacing w:line="360" w:lineRule="auto"/>
              <w:rPr>
                <w:rFonts w:ascii="Arial" w:hAnsi="Arial" w:cs="Arial"/>
              </w:rPr>
            </w:pPr>
          </w:p>
        </w:tc>
      </w:tr>
    </w:tbl>
    <w:p w14:paraId="3C13D40E" w14:textId="77777777" w:rsidR="00F005CC" w:rsidRDefault="00F005CC" w:rsidP="00F005CC"/>
    <w:p w14:paraId="5FBAF221" w14:textId="135B68B8" w:rsidR="00F005CC" w:rsidRDefault="00F005CC" w:rsidP="00F005CC">
      <w:pPr>
        <w:spacing w:line="360" w:lineRule="auto"/>
        <w:jc w:val="both"/>
        <w:rPr>
          <w:rFonts w:ascii="Arial" w:hAnsi="Arial" w:cs="Arial"/>
        </w:rPr>
      </w:pPr>
    </w:p>
    <w:p w14:paraId="34CD1271" w14:textId="3A494A59" w:rsidR="008C1CD6" w:rsidRDefault="008C1CD6" w:rsidP="00F005CC">
      <w:pPr>
        <w:spacing w:line="360" w:lineRule="auto"/>
        <w:jc w:val="both"/>
        <w:rPr>
          <w:rFonts w:ascii="Arial" w:hAnsi="Arial" w:cs="Arial"/>
        </w:rPr>
      </w:pPr>
    </w:p>
    <w:p w14:paraId="28B6153F" w14:textId="6C59CE5A" w:rsidR="008C1CD6" w:rsidRDefault="008C1CD6" w:rsidP="00F005CC">
      <w:pPr>
        <w:spacing w:line="360" w:lineRule="auto"/>
        <w:jc w:val="both"/>
        <w:rPr>
          <w:rFonts w:ascii="Arial" w:hAnsi="Arial" w:cs="Arial"/>
        </w:rPr>
      </w:pPr>
    </w:p>
    <w:p w14:paraId="4C4E42F0" w14:textId="716ACEEC" w:rsidR="008C1CD6" w:rsidRDefault="008C1CD6" w:rsidP="00F005CC">
      <w:pPr>
        <w:spacing w:line="360" w:lineRule="auto"/>
        <w:jc w:val="both"/>
        <w:rPr>
          <w:rFonts w:ascii="Arial" w:hAnsi="Arial" w:cs="Arial"/>
        </w:rPr>
      </w:pPr>
    </w:p>
    <w:p w14:paraId="2991167E" w14:textId="3E18A2D6" w:rsidR="008C1CD6" w:rsidRDefault="008C1CD6" w:rsidP="00F005CC">
      <w:pPr>
        <w:spacing w:line="360" w:lineRule="auto"/>
        <w:jc w:val="both"/>
        <w:rPr>
          <w:rFonts w:ascii="Arial" w:hAnsi="Arial" w:cs="Arial"/>
        </w:rPr>
      </w:pPr>
    </w:p>
    <w:p w14:paraId="522BB505" w14:textId="71CC7361" w:rsidR="008C1CD6" w:rsidRDefault="008C1CD6" w:rsidP="00F005CC">
      <w:pPr>
        <w:spacing w:line="360" w:lineRule="auto"/>
        <w:jc w:val="both"/>
        <w:rPr>
          <w:rFonts w:ascii="Arial" w:hAnsi="Arial" w:cs="Arial"/>
        </w:rPr>
      </w:pPr>
    </w:p>
    <w:p w14:paraId="4B734606" w14:textId="205242B4" w:rsidR="008C1CD6" w:rsidRDefault="008C1CD6" w:rsidP="00F005CC">
      <w:pPr>
        <w:spacing w:line="360" w:lineRule="auto"/>
        <w:jc w:val="both"/>
        <w:rPr>
          <w:rFonts w:ascii="Arial" w:hAnsi="Arial" w:cs="Arial"/>
        </w:rPr>
      </w:pPr>
    </w:p>
    <w:p w14:paraId="0ED5A3CC" w14:textId="34F989A0" w:rsidR="008C1CD6" w:rsidRDefault="008C1CD6" w:rsidP="00F005CC">
      <w:pPr>
        <w:spacing w:line="360" w:lineRule="auto"/>
        <w:jc w:val="both"/>
        <w:rPr>
          <w:rFonts w:ascii="Arial" w:hAnsi="Arial" w:cs="Arial"/>
        </w:rPr>
      </w:pPr>
    </w:p>
    <w:p w14:paraId="642181A9" w14:textId="7478159F" w:rsidR="008C1CD6" w:rsidRDefault="008C1CD6" w:rsidP="00F005CC">
      <w:pPr>
        <w:spacing w:line="360" w:lineRule="auto"/>
        <w:jc w:val="both"/>
        <w:rPr>
          <w:rFonts w:ascii="Arial" w:hAnsi="Arial" w:cs="Arial"/>
        </w:rPr>
      </w:pPr>
    </w:p>
    <w:p w14:paraId="3DE25DD0" w14:textId="3035C184" w:rsidR="008C1CD6" w:rsidRDefault="008C1CD6" w:rsidP="00F005CC">
      <w:pPr>
        <w:spacing w:line="360" w:lineRule="auto"/>
        <w:jc w:val="both"/>
        <w:rPr>
          <w:rFonts w:ascii="Arial" w:hAnsi="Arial" w:cs="Arial"/>
        </w:rPr>
      </w:pPr>
    </w:p>
    <w:p w14:paraId="194DAD56" w14:textId="53FF818D" w:rsidR="008C1CD6" w:rsidRDefault="008C1CD6" w:rsidP="00F005CC">
      <w:pPr>
        <w:spacing w:line="360" w:lineRule="auto"/>
        <w:jc w:val="both"/>
        <w:rPr>
          <w:rFonts w:ascii="Arial" w:hAnsi="Arial" w:cs="Arial"/>
        </w:rPr>
      </w:pPr>
    </w:p>
    <w:p w14:paraId="45CF62F4" w14:textId="4ECF4392" w:rsidR="008C1CD6" w:rsidRPr="008C1CD6" w:rsidRDefault="008C1CD6" w:rsidP="008C1CD6">
      <w:pPr>
        <w:spacing w:line="360" w:lineRule="auto"/>
        <w:jc w:val="both"/>
        <w:rPr>
          <w:rFonts w:ascii="Arial" w:hAnsi="Arial" w:cs="Arial"/>
        </w:rPr>
      </w:pPr>
      <w:r>
        <w:rPr>
          <w:rFonts w:ascii="Arial" w:hAnsi="Arial" w:cs="Arial"/>
        </w:rPr>
        <w:t>10.2</w:t>
      </w:r>
      <w:bookmarkStart w:id="0" w:name="_GoBack"/>
      <w:bookmarkEnd w:id="0"/>
    </w:p>
    <w:sectPr w:rsidR="008C1CD6" w:rsidRPr="008C1CD6" w:rsidSect="00F005CC">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05CC"/>
    <w:rsid w:val="002A3D64"/>
    <w:rsid w:val="003F3601"/>
    <w:rsid w:val="005F1EF1"/>
    <w:rsid w:val="008C1CD6"/>
    <w:rsid w:val="00F00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7FFA"/>
  <w15:docId w15:val="{CCF3F351-EE6C-4CD8-A7DB-1A396B6D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5CC"/>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4</cp:revision>
  <cp:lastPrinted>2022-07-27T12:22:00Z</cp:lastPrinted>
  <dcterms:created xsi:type="dcterms:W3CDTF">2017-04-12T10:02:00Z</dcterms:created>
  <dcterms:modified xsi:type="dcterms:W3CDTF">2022-07-27T12:23:00Z</dcterms:modified>
</cp:coreProperties>
</file>